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overflowPunct w:val="0"/>
        <w:bidi w:val="0"/>
        <w:rPr>
          <w:rFonts w:hint="eastAsia"/>
          <w:color w:val="auto"/>
          <w:highlight w:val="none"/>
          <w:lang w:eastAsia="zh-CN"/>
        </w:rPr>
      </w:pPr>
      <w:r>
        <w:rPr>
          <w:rFonts w:hint="eastAsia"/>
          <w:color w:val="auto"/>
          <w:highlight w:val="none"/>
          <w:lang w:eastAsia="zh-CN"/>
        </w:rPr>
        <w:t>江西省高级人民法院</w:t>
      </w:r>
    </w:p>
    <w:p>
      <w:pPr>
        <w:pStyle w:val="7"/>
        <w:overflowPunct w:val="0"/>
        <w:bidi w:val="0"/>
        <w:rPr>
          <w:rFonts w:hint="eastAsia"/>
          <w:color w:val="auto"/>
          <w:highlight w:val="none"/>
          <w:lang w:eastAsia="zh-CN"/>
        </w:rPr>
      </w:pPr>
      <w:bookmarkStart w:id="0" w:name="lawyee1001_WritName_1_"/>
      <w:r>
        <w:rPr>
          <w:rFonts w:hint="eastAsia"/>
          <w:color w:val="auto"/>
          <w:highlight w:val="none"/>
          <w:lang w:eastAsia="zh-CN"/>
        </w:rPr>
        <w:t>民事判决书</w:t>
      </w:r>
    </w:p>
    <w:bookmarkEnd w:id="0"/>
    <w:p>
      <w:pPr>
        <w:keepNext w:val="0"/>
        <w:keepLines w:val="0"/>
        <w:pageBreakBefore w:val="0"/>
        <w:widowControl w:val="0"/>
        <w:numPr>
          <w:ilvl w:val="0"/>
          <w:numId w:val="0"/>
        </w:numPr>
        <w:kinsoku/>
        <w:wordWrap/>
        <w:overflowPunct/>
        <w:topLinePunct w:val="0"/>
        <w:bidi w:val="0"/>
        <w:spacing w:line="480" w:lineRule="exact"/>
        <w:jc w:val="both"/>
        <w:textAlignment w:val="auto"/>
        <w:rPr>
          <w:rFonts w:hint="eastAsia" w:ascii="仿宋_GB2312" w:hAnsi="仿宋_GB2312" w:eastAsia="仿宋_GB2312"/>
          <w:color w:val="auto"/>
          <w:sz w:val="32"/>
          <w:szCs w:val="32"/>
          <w:highlight w:val="none"/>
          <w:lang w:eastAsia="zh-CN"/>
        </w:rPr>
      </w:pPr>
    </w:p>
    <w:p>
      <w:pPr>
        <w:keepNext w:val="0"/>
        <w:keepLines w:val="0"/>
        <w:pageBreakBefore w:val="0"/>
        <w:widowControl w:val="0"/>
        <w:numPr>
          <w:ilvl w:val="0"/>
          <w:numId w:val="0"/>
        </w:numPr>
        <w:kinsoku/>
        <w:wordWrap/>
        <w:overflowPunct/>
        <w:topLinePunct w:val="0"/>
        <w:bidi w:val="0"/>
        <w:spacing w:line="480" w:lineRule="exact"/>
        <w:jc w:val="right"/>
        <w:textAlignment w:val="auto"/>
        <w:rPr>
          <w:rFonts w:hint="eastAsia" w:ascii="仿宋_GB2312" w:hAnsi="仿宋_GB2312" w:eastAsia="仿宋_GB2312"/>
          <w:color w:val="auto"/>
          <w:sz w:val="32"/>
          <w:szCs w:val="32"/>
          <w:highlight w:val="none"/>
          <w:lang w:val="en-US" w:eastAsia="zh-CN"/>
        </w:rPr>
      </w:pPr>
      <w:r>
        <w:rPr>
          <w:rFonts w:hint="eastAsia" w:ascii="仿宋_GB2312" w:hAnsi="仿宋_GB2312" w:eastAsia="仿宋_GB2312"/>
          <w:color w:val="auto"/>
          <w:sz w:val="32"/>
          <w:szCs w:val="32"/>
          <w:highlight w:val="none"/>
          <w:lang w:eastAsia="zh-CN"/>
        </w:rPr>
        <w:t>（</w:t>
      </w:r>
      <w:r>
        <w:rPr>
          <w:rFonts w:hint="eastAsia" w:ascii="仿宋_GB2312" w:hAnsi="仿宋_GB2312" w:eastAsia="仿宋_GB2312"/>
          <w:color w:val="auto"/>
          <w:sz w:val="32"/>
          <w:szCs w:val="32"/>
          <w:highlight w:val="none"/>
          <w:lang w:val="en-US" w:eastAsia="zh-CN"/>
        </w:rPr>
        <w:t>2022</w:t>
      </w:r>
      <w:r>
        <w:rPr>
          <w:rFonts w:hint="eastAsia" w:ascii="仿宋_GB2312" w:hAnsi="仿宋_GB2312" w:eastAsia="仿宋_GB2312"/>
          <w:color w:val="auto"/>
          <w:sz w:val="32"/>
          <w:szCs w:val="32"/>
          <w:highlight w:val="none"/>
          <w:lang w:eastAsia="zh-CN"/>
        </w:rPr>
        <w:t>）赣民终</w:t>
      </w:r>
      <w:r>
        <w:rPr>
          <w:rFonts w:hint="eastAsia" w:ascii="仿宋_GB2312" w:hAnsi="仿宋_GB2312" w:eastAsia="仿宋_GB2312"/>
          <w:color w:val="auto"/>
          <w:sz w:val="32"/>
          <w:szCs w:val="32"/>
          <w:highlight w:val="none"/>
          <w:lang w:val="en-US" w:eastAsia="zh-CN"/>
        </w:rPr>
        <w:t>1011号</w:t>
      </w:r>
    </w:p>
    <w:p>
      <w:pPr>
        <w:keepNext w:val="0"/>
        <w:keepLines w:val="0"/>
        <w:pageBreakBefore w:val="0"/>
        <w:widowControl w:val="0"/>
        <w:numPr>
          <w:ilvl w:val="0"/>
          <w:numId w:val="0"/>
        </w:numPr>
        <w:kinsoku/>
        <w:wordWrap/>
        <w:overflowPunct/>
        <w:topLinePunct w:val="0"/>
        <w:autoSpaceDN/>
        <w:bidi w:val="0"/>
        <w:adjustRightInd/>
        <w:snapToGrid/>
        <w:spacing w:line="500" w:lineRule="exact"/>
        <w:textAlignment w:val="auto"/>
        <w:rPr>
          <w:rFonts w:hint="eastAsia" w:ascii="仿宋_GB2312" w:hAnsi="仿宋_GB2312" w:eastAsia="仿宋_GB2312"/>
          <w:color w:val="auto"/>
          <w:sz w:val="32"/>
          <w:szCs w:val="32"/>
          <w:highlight w:val="none"/>
          <w:lang w:val="en-US" w:eastAsia="zh-CN"/>
        </w:rPr>
      </w:pPr>
      <w:r>
        <w:rPr>
          <w:rFonts w:hint="eastAsia" w:ascii="仿宋_GB2312" w:hAnsi="仿宋_GB2312" w:eastAsia="仿宋_GB2312"/>
          <w:color w:val="auto"/>
          <w:sz w:val="32"/>
          <w:szCs w:val="32"/>
          <w:highlight w:val="none"/>
          <w:lang w:val="en-US" w:eastAsia="zh-CN"/>
        </w:rPr>
        <w:t xml:space="preserve">    </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上诉人（原审被告）：黄连系，男，1978年6月14日出生，汉族，户籍地</w:t>
      </w:r>
      <w:r>
        <w:rPr>
          <w:rFonts w:hint="eastAsia" w:ascii="仿宋_GB2312" w:hAnsi="仿宋_GB2312" w:eastAsia="仿宋_GB2312" w:cs="仿宋_GB2312"/>
          <w:color w:val="auto"/>
          <w:sz w:val="32"/>
          <w:szCs w:val="32"/>
          <w:highlight w:val="none"/>
          <w:lang w:eastAsia="zh-CN"/>
        </w:rPr>
        <w:t>宁夏</w:t>
      </w:r>
      <w:r>
        <w:rPr>
          <w:rFonts w:hint="eastAsia" w:ascii="仿宋_GB2312" w:hAnsi="仿宋_GB2312" w:eastAsia="仿宋_GB2312" w:cs="仿宋_GB2312"/>
          <w:color w:val="auto"/>
          <w:sz w:val="32"/>
          <w:szCs w:val="32"/>
          <w:highlight w:val="none"/>
        </w:rPr>
        <w:t>海原县黑城镇黑城村八组020，</w:t>
      </w:r>
      <w:r>
        <w:rPr>
          <w:rFonts w:hint="eastAsia" w:ascii="仿宋_GB2312" w:hAnsi="仿宋_GB2312" w:eastAsia="仿宋_GB2312" w:cs="仿宋_GB2312"/>
          <w:color w:val="auto"/>
          <w:sz w:val="32"/>
          <w:szCs w:val="32"/>
          <w:highlight w:val="none"/>
          <w:lang w:eastAsia="zh-CN"/>
        </w:rPr>
        <w:t>公民身份</w:t>
      </w:r>
      <w:r>
        <w:rPr>
          <w:rFonts w:hint="eastAsia" w:ascii="仿宋_GB2312" w:hAnsi="仿宋_GB2312" w:eastAsia="仿宋_GB2312" w:cs="仿宋_GB2312"/>
          <w:color w:val="auto"/>
          <w:sz w:val="32"/>
          <w:szCs w:val="32"/>
          <w:highlight w:val="none"/>
        </w:rPr>
        <w:t>号码：350524197806146050。</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被上诉人（原审原告）：景德镇市贝汉美陶瓷有限公司，住所地江西省景德镇市陶瓷工业园内，统一社会信用代码：91360207578760911G。</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法定代表人：沈锋，系该公司执行董事。</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委托诉讼代理人：罗之煌，江西远瀚律师事务所律师。</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委托诉讼代理人：</w:t>
      </w:r>
      <w:r>
        <w:rPr>
          <w:rFonts w:hint="eastAsia" w:ascii="仿宋_GB2312" w:hAnsi="仿宋_GB2312" w:eastAsia="仿宋_GB2312" w:cs="仿宋_GB2312"/>
          <w:color w:val="auto"/>
          <w:sz w:val="32"/>
          <w:szCs w:val="32"/>
          <w:highlight w:val="none"/>
          <w:lang w:eastAsia="zh-CN"/>
        </w:rPr>
        <w:t>王瑛</w:t>
      </w:r>
      <w:r>
        <w:rPr>
          <w:rFonts w:hint="eastAsia" w:ascii="仿宋_GB2312" w:hAnsi="仿宋_GB2312" w:eastAsia="仿宋_GB2312" w:cs="仿宋_GB2312"/>
          <w:color w:val="auto"/>
          <w:sz w:val="32"/>
          <w:szCs w:val="32"/>
          <w:highlight w:val="none"/>
        </w:rPr>
        <w:t>，江西远瀚律师事务所律师。</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原审被告</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rPr>
        <w:t>景德镇宏赫陶瓷有限公司，住所地江西省景德镇市珠山区竟成镇昌江村十九小学安置地102栋，统一社会信用代码：913602060910693526。</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法定代表人：张雷，系该公司执行董事、总经理。</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上诉人黄连系因被上诉人</w:t>
      </w:r>
      <w:r>
        <w:rPr>
          <w:rFonts w:hint="eastAsia" w:ascii="仿宋_GB2312" w:hAnsi="仿宋_GB2312" w:eastAsia="仿宋_GB2312" w:cs="仿宋_GB2312"/>
          <w:color w:val="auto"/>
          <w:sz w:val="32"/>
          <w:szCs w:val="32"/>
          <w:highlight w:val="none"/>
        </w:rPr>
        <w:t>景德镇市贝汉美陶瓷有限公司</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以下简称贝汉美公司</w:t>
      </w:r>
      <w:r>
        <w:rPr>
          <w:rFonts w:hint="eastAsia" w:ascii="仿宋_GB2312" w:hAnsi="仿宋_GB2312" w:eastAsia="仿宋_GB2312" w:cs="仿宋_GB2312"/>
          <w:color w:val="auto"/>
          <w:sz w:val="32"/>
          <w:szCs w:val="32"/>
          <w:highlight w:val="none"/>
          <w:lang w:eastAsia="zh-CN"/>
        </w:rPr>
        <w:t>）诉其与</w:t>
      </w:r>
      <w:r>
        <w:rPr>
          <w:rFonts w:hint="eastAsia" w:ascii="仿宋_GB2312" w:hAnsi="仿宋_GB2312" w:eastAsia="仿宋_GB2312" w:cs="仿宋_GB2312"/>
          <w:color w:val="auto"/>
          <w:sz w:val="32"/>
          <w:szCs w:val="32"/>
          <w:highlight w:val="none"/>
        </w:rPr>
        <w:t>景德镇宏赫陶瓷有限公司（以下简称宏赫陶瓷公司）侵害外观设计专利权纠纷一案，</w:t>
      </w:r>
      <w:r>
        <w:rPr>
          <w:rFonts w:hint="eastAsia" w:ascii="仿宋_GB2312" w:hAnsi="仿宋_GB2312" w:eastAsia="仿宋_GB2312" w:cs="仿宋_GB2312"/>
          <w:color w:val="auto"/>
          <w:sz w:val="32"/>
          <w:szCs w:val="32"/>
          <w:highlight w:val="none"/>
          <w:lang w:eastAsia="zh-CN"/>
        </w:rPr>
        <w:t>不服景德镇</w:t>
      </w:r>
      <w:r>
        <w:rPr>
          <w:rFonts w:hint="eastAsia" w:ascii="仿宋_GB2312" w:hAnsi="仿宋_GB2312" w:eastAsia="仿宋_GB2312" w:cs="仿宋_GB2312"/>
          <w:color w:val="auto"/>
          <w:sz w:val="32"/>
          <w:szCs w:val="32"/>
          <w:highlight w:val="none"/>
        </w:rPr>
        <w:t>中级人民法院于2022年</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27</w:t>
      </w:r>
      <w:r>
        <w:rPr>
          <w:rFonts w:hint="eastAsia" w:ascii="仿宋_GB2312" w:hAnsi="仿宋_GB2312" w:eastAsia="仿宋_GB2312" w:cs="仿宋_GB2312"/>
          <w:color w:val="auto"/>
          <w:sz w:val="32"/>
          <w:szCs w:val="32"/>
          <w:highlight w:val="none"/>
        </w:rPr>
        <w:t>日作出</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rPr>
        <w:t>（2022）赣</w:t>
      </w:r>
      <w:r>
        <w:rPr>
          <w:rFonts w:hint="eastAsia" w:ascii="仿宋_GB2312" w:hAnsi="仿宋_GB2312" w:eastAsia="仿宋_GB2312" w:cs="仿宋_GB2312"/>
          <w:color w:val="auto"/>
          <w:sz w:val="32"/>
          <w:szCs w:val="32"/>
          <w:highlight w:val="none"/>
          <w:lang w:val="en-US" w:eastAsia="zh-CN"/>
        </w:rPr>
        <w:t>02</w:t>
      </w:r>
      <w:r>
        <w:rPr>
          <w:rFonts w:hint="eastAsia" w:ascii="仿宋_GB2312" w:hAnsi="仿宋_GB2312" w:eastAsia="仿宋_GB2312" w:cs="仿宋_GB2312"/>
          <w:color w:val="auto"/>
          <w:sz w:val="32"/>
          <w:szCs w:val="32"/>
          <w:highlight w:val="none"/>
        </w:rPr>
        <w:t>民初</w:t>
      </w:r>
      <w:r>
        <w:rPr>
          <w:rFonts w:hint="eastAsia" w:ascii="仿宋_GB2312" w:hAnsi="仿宋_GB2312" w:eastAsia="仿宋_GB2312" w:cs="仿宋_GB2312"/>
          <w:color w:val="auto"/>
          <w:sz w:val="32"/>
          <w:szCs w:val="32"/>
          <w:highlight w:val="none"/>
          <w:lang w:val="en-US" w:eastAsia="zh-CN"/>
        </w:rPr>
        <w:t>120</w:t>
      </w:r>
      <w:r>
        <w:rPr>
          <w:rFonts w:hint="eastAsia" w:ascii="仿宋_GB2312" w:hAnsi="仿宋_GB2312" w:eastAsia="仿宋_GB2312" w:cs="仿宋_GB2312"/>
          <w:color w:val="auto"/>
          <w:sz w:val="32"/>
          <w:szCs w:val="32"/>
          <w:highlight w:val="none"/>
        </w:rPr>
        <w:t>号民事判决，向本院提起上诉。本院于2022年</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日立案受理后，依法组成合议庭进行了审理</w:t>
      </w:r>
      <w:r>
        <w:rPr>
          <w:rFonts w:hint="eastAsia" w:ascii="仿宋_GB2312" w:hAnsi="仿宋_GB2312" w:eastAsia="仿宋_GB2312" w:cs="仿宋_GB2312"/>
          <w:color w:val="auto"/>
          <w:sz w:val="32"/>
          <w:szCs w:val="32"/>
          <w:highlight w:val="none"/>
          <w:lang w:eastAsia="zh-CN"/>
        </w:rPr>
        <w:t>，并于</w:t>
      </w:r>
      <w:r>
        <w:rPr>
          <w:rFonts w:hint="eastAsia" w:ascii="仿宋_GB2312" w:hAnsi="仿宋_GB2312" w:eastAsia="仿宋_GB2312" w:cs="仿宋_GB2312"/>
          <w:color w:val="auto"/>
          <w:sz w:val="32"/>
          <w:szCs w:val="32"/>
          <w:highlight w:val="none"/>
          <w:lang w:val="en-US" w:eastAsia="zh-CN"/>
        </w:rPr>
        <w:t>2022年11月15日通过视频方式举行庭询，黄连系及贝汉美公司委托诉讼代理人</w:t>
      </w:r>
      <w:r>
        <w:rPr>
          <w:rFonts w:hint="eastAsia" w:ascii="仿宋_GB2312" w:hAnsi="仿宋_GB2312" w:eastAsia="仿宋_GB2312" w:cs="仿宋_GB2312"/>
          <w:color w:val="auto"/>
          <w:sz w:val="32"/>
          <w:szCs w:val="32"/>
          <w:highlight w:val="none"/>
        </w:rPr>
        <w:t>罗之煌</w:t>
      </w:r>
      <w:r>
        <w:rPr>
          <w:rFonts w:hint="eastAsia" w:ascii="仿宋_GB2312" w:hAnsi="仿宋_GB2312" w:eastAsia="仿宋_GB2312" w:cs="仿宋_GB2312"/>
          <w:color w:val="auto"/>
          <w:sz w:val="32"/>
          <w:szCs w:val="32"/>
          <w:highlight w:val="none"/>
          <w:lang w:val="en-US" w:eastAsia="zh-CN"/>
        </w:rPr>
        <w:t>参加庭询。本案</w:t>
      </w:r>
      <w:r>
        <w:rPr>
          <w:rFonts w:hint="eastAsia" w:ascii="仿宋_GB2312" w:hAnsi="仿宋_GB2312" w:eastAsia="仿宋_GB2312" w:cs="仿宋_GB2312"/>
          <w:color w:val="auto"/>
          <w:sz w:val="32"/>
          <w:szCs w:val="32"/>
          <w:highlight w:val="none"/>
        </w:rPr>
        <w:t>现已审理终结。</w:t>
      </w:r>
    </w:p>
    <w:p>
      <w:pPr>
        <w:keepNext w:val="0"/>
        <w:keepLines w:val="0"/>
        <w:pageBreakBefore w:val="0"/>
        <w:widowControl w:val="0"/>
        <w:kinsoku/>
        <w:wordWrap/>
        <w:overflowPunct/>
        <w:topLinePunct w:val="0"/>
        <w:autoSpaceDN/>
        <w:bidi w:val="0"/>
        <w:adjustRightInd/>
        <w:snapToGrid/>
        <w:spacing w:line="500" w:lineRule="exact"/>
        <w:ind w:firstLine="66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黄连系</w:t>
      </w:r>
      <w:r>
        <w:rPr>
          <w:rFonts w:hint="eastAsia" w:ascii="仿宋_GB2312" w:hAnsi="仿宋_GB2312" w:eastAsia="仿宋_GB2312" w:cs="仿宋_GB2312"/>
          <w:color w:val="auto"/>
          <w:sz w:val="32"/>
          <w:szCs w:val="32"/>
          <w:highlight w:val="none"/>
        </w:rPr>
        <w:t>上诉请求</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撤销（2022）赣</w:t>
      </w:r>
      <w:r>
        <w:rPr>
          <w:rFonts w:hint="eastAsia" w:ascii="仿宋_GB2312" w:hAnsi="仿宋_GB2312" w:eastAsia="仿宋_GB2312" w:cs="仿宋_GB2312"/>
          <w:color w:val="auto"/>
          <w:sz w:val="32"/>
          <w:szCs w:val="32"/>
          <w:highlight w:val="none"/>
          <w:lang w:val="en-US" w:eastAsia="zh-CN"/>
        </w:rPr>
        <w:t>02</w:t>
      </w:r>
      <w:r>
        <w:rPr>
          <w:rFonts w:hint="eastAsia" w:ascii="仿宋_GB2312" w:hAnsi="仿宋_GB2312" w:eastAsia="仿宋_GB2312" w:cs="仿宋_GB2312"/>
          <w:color w:val="auto"/>
          <w:sz w:val="32"/>
          <w:szCs w:val="32"/>
          <w:highlight w:val="none"/>
        </w:rPr>
        <w:t>民初</w:t>
      </w:r>
      <w:r>
        <w:rPr>
          <w:rFonts w:hint="eastAsia" w:ascii="仿宋_GB2312" w:hAnsi="仿宋_GB2312" w:eastAsia="仿宋_GB2312" w:cs="仿宋_GB2312"/>
          <w:color w:val="auto"/>
          <w:sz w:val="32"/>
          <w:szCs w:val="32"/>
          <w:highlight w:val="none"/>
          <w:lang w:val="en-US" w:eastAsia="zh-CN"/>
        </w:rPr>
        <w:t>120</w:t>
      </w:r>
      <w:r>
        <w:rPr>
          <w:rFonts w:hint="eastAsia" w:ascii="仿宋_GB2312" w:hAnsi="仿宋_GB2312" w:eastAsia="仿宋_GB2312" w:cs="仿宋_GB2312"/>
          <w:color w:val="auto"/>
          <w:sz w:val="32"/>
          <w:szCs w:val="32"/>
          <w:highlight w:val="none"/>
        </w:rPr>
        <w:t>号民事判决</w:t>
      </w:r>
      <w:r>
        <w:rPr>
          <w:rFonts w:hint="eastAsia" w:ascii="仿宋_GB2312" w:hAnsi="仿宋_GB2312" w:eastAsia="仿宋_GB2312" w:cs="仿宋_GB2312"/>
          <w:color w:val="auto"/>
          <w:sz w:val="32"/>
          <w:szCs w:val="32"/>
          <w:highlight w:val="none"/>
          <w:lang w:eastAsia="zh-CN"/>
        </w:rPr>
        <w:t>中对上诉人赔偿被上诉人贝汉美公司</w:t>
      </w:r>
      <w:r>
        <w:rPr>
          <w:rFonts w:hint="eastAsia" w:ascii="仿宋_GB2312" w:hAnsi="仿宋_GB2312" w:eastAsia="仿宋_GB2312" w:cs="仿宋_GB2312"/>
          <w:color w:val="auto"/>
          <w:sz w:val="32"/>
          <w:szCs w:val="32"/>
          <w:highlight w:val="none"/>
          <w:lang w:val="en-US" w:eastAsia="zh-CN"/>
        </w:rPr>
        <w:t>100000元的内容；2.被上诉人</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lang w:val="en-US" w:eastAsia="zh-CN"/>
        </w:rPr>
        <w:t>承担二审诉讼费用。</w:t>
      </w:r>
      <w:r>
        <w:rPr>
          <w:rFonts w:hint="eastAsia" w:ascii="仿宋_GB2312" w:hAnsi="仿宋_GB2312" w:eastAsia="仿宋_GB2312" w:cs="仿宋_GB2312"/>
          <w:color w:val="auto"/>
          <w:sz w:val="32"/>
          <w:szCs w:val="32"/>
          <w:highlight w:val="none"/>
        </w:rPr>
        <w:t>事实和理由：</w:t>
      </w:r>
      <w:r>
        <w:rPr>
          <w:rFonts w:hint="eastAsia" w:ascii="仿宋_GB2312" w:hAnsi="仿宋_GB2312" w:eastAsia="仿宋_GB2312" w:cs="仿宋_GB2312"/>
          <w:color w:val="auto"/>
          <w:sz w:val="32"/>
          <w:szCs w:val="32"/>
          <w:highlight w:val="none"/>
          <w:lang w:eastAsia="zh-CN"/>
        </w:rPr>
        <w:t>一审法院事实认定错误，一审中对于认定上诉人为生产工厂显然受限于上诉人未能提供充分相反证据证实自身非生产工厂。上诉人于</w:t>
      </w:r>
      <w:r>
        <w:rPr>
          <w:rFonts w:hint="eastAsia" w:ascii="仿宋_GB2312" w:hAnsi="仿宋_GB2312" w:eastAsia="仿宋_GB2312" w:cs="仿宋_GB2312"/>
          <w:color w:val="auto"/>
          <w:sz w:val="32"/>
          <w:szCs w:val="32"/>
          <w:highlight w:val="none"/>
          <w:lang w:val="en-US" w:eastAsia="zh-CN"/>
        </w:rPr>
        <w:t>2022年3月14日向泉州市腾鑫工艺品有限公司采购工艺品产品，清单中存在一审案件中被上诉人用于公证的产品，而被上诉人公证的侵权产品采购日期为2022年5月27日。从时间上判断吻合上诉人从生产工厂采购在先、销售在后。对此可以证实上诉人亦是从其他渠道采购侵权产品，而非上诉人自行生产，上诉人是销售方而非生产工厂。</w:t>
      </w:r>
    </w:p>
    <w:p>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贝汉美公司庭询时辩称，一审事实认定</w:t>
      </w:r>
      <w:r>
        <w:rPr>
          <w:rFonts w:hint="eastAsia" w:ascii="仿宋_GB2312" w:hAnsi="仿宋_GB2312" w:eastAsia="仿宋_GB2312" w:cs="仿宋_GB2312"/>
          <w:color w:val="auto"/>
          <w:sz w:val="32"/>
          <w:szCs w:val="32"/>
          <w:highlight w:val="none"/>
        </w:rPr>
        <w:t>清楚，适用法律正确。</w:t>
      </w:r>
      <w:r>
        <w:rPr>
          <w:rFonts w:hint="eastAsia" w:ascii="仿宋_GB2312" w:hAnsi="仿宋_GB2312" w:eastAsia="仿宋_GB2312" w:cs="仿宋_GB2312"/>
          <w:color w:val="auto"/>
          <w:sz w:val="32"/>
          <w:szCs w:val="32"/>
          <w:highlight w:val="none"/>
          <w:lang w:eastAsia="zh-CN"/>
        </w:rPr>
        <w:t>一审上诉人明确承认自己的工厂就在泉州，确认自身就是厂家，在</w:t>
      </w:r>
      <w:r>
        <w:rPr>
          <w:rFonts w:hint="eastAsia" w:ascii="仿宋_GB2312" w:hAnsi="仿宋_GB2312" w:eastAsia="仿宋_GB2312" w:cs="仿宋_GB2312"/>
          <w:color w:val="auto"/>
          <w:sz w:val="32"/>
          <w:szCs w:val="32"/>
          <w:highlight w:val="none"/>
          <w:lang w:val="en-US" w:eastAsia="zh-CN"/>
        </w:rPr>
        <w:t>2021年10月22日聊天记录中有载明，其上诉理由不能成立。</w:t>
      </w:r>
    </w:p>
    <w:p>
      <w:pPr>
        <w:pStyle w:val="9"/>
        <w:keepNext w:val="0"/>
        <w:keepLines w:val="0"/>
        <w:pageBreakBefore w:val="0"/>
        <w:widowControl w:val="0"/>
        <w:numPr>
          <w:ilvl w:val="0"/>
          <w:numId w:val="0"/>
        </w:numPr>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color w:val="auto"/>
          <w:sz w:val="32"/>
          <w:szCs w:val="32"/>
          <w:highlight w:val="none"/>
        </w:rPr>
        <w:t>贝汉美公司</w:t>
      </w:r>
      <w:r>
        <w:rPr>
          <w:rFonts w:hint="eastAsia" w:ascii="仿宋_GB2312" w:hAnsi="仿宋_GB2312" w:eastAsia="仿宋_GB2312" w:cs="仿宋_GB2312"/>
          <w:color w:val="auto"/>
          <w:sz w:val="32"/>
          <w:szCs w:val="32"/>
          <w:highlight w:val="none"/>
          <w:lang w:eastAsia="zh-CN"/>
        </w:rPr>
        <w:t>一审</w:t>
      </w:r>
      <w:r>
        <w:rPr>
          <w:rFonts w:hint="eastAsia" w:ascii="仿宋_GB2312" w:hAnsi="仿宋_GB2312" w:eastAsia="仿宋_GB2312" w:cs="仿宋_GB2312"/>
          <w:color w:val="auto"/>
          <w:sz w:val="32"/>
          <w:szCs w:val="32"/>
          <w:highlight w:val="none"/>
        </w:rPr>
        <w:t>起诉请求：1.宏赫陶瓷公司、</w:t>
      </w:r>
      <w:r>
        <w:rPr>
          <w:rFonts w:hint="eastAsia" w:ascii="仿宋_GB2312" w:hAnsi="仿宋_GB2312" w:eastAsia="仿宋_GB2312" w:cs="仿宋_GB2312"/>
          <w:color w:val="auto"/>
          <w:sz w:val="32"/>
          <w:szCs w:val="32"/>
          <w:highlight w:val="none"/>
          <w:lang w:eastAsia="zh-CN"/>
        </w:rPr>
        <w:t>黄连系</w:t>
      </w:r>
      <w:r>
        <w:rPr>
          <w:rFonts w:hint="eastAsia" w:ascii="仿宋_GB2312" w:hAnsi="仿宋_GB2312" w:eastAsia="仿宋_GB2312" w:cs="仿宋_GB2312"/>
          <w:color w:val="auto"/>
          <w:sz w:val="32"/>
          <w:szCs w:val="32"/>
          <w:highlight w:val="none"/>
        </w:rPr>
        <w:t>立即停止制造、销售、许诺销售侵犯</w:t>
      </w:r>
      <w:r>
        <w:rPr>
          <w:rFonts w:hint="eastAsia" w:ascii="仿宋_GB2312" w:hAnsi="仿宋_GB2312" w:eastAsia="仿宋_GB2312" w:cs="仿宋_GB2312"/>
          <w:color w:val="auto"/>
          <w:sz w:val="32"/>
          <w:szCs w:val="32"/>
          <w:highlight w:val="none"/>
          <w:lang w:eastAsia="zh-CN"/>
        </w:rPr>
        <w:t>其</w:t>
      </w:r>
      <w:r>
        <w:rPr>
          <w:rFonts w:hint="eastAsia" w:ascii="仿宋_GB2312" w:hAnsi="仿宋_GB2312" w:eastAsia="仿宋_GB2312" w:cs="仿宋_GB2312"/>
          <w:color w:val="auto"/>
          <w:sz w:val="32"/>
          <w:szCs w:val="32"/>
          <w:highlight w:val="none"/>
        </w:rPr>
        <w:t>名称为陶瓷摆件（萌兔）、专利号为ZL202130187897.4号的外观设计专利权产品，并删除侵权链接、销毁库存侵权产品和用于制造侵权产品的专用模具、销毁记载有侵权产品图片的宣传资料；2.宏赫陶瓷公司、</w:t>
      </w:r>
      <w:r>
        <w:rPr>
          <w:rFonts w:hint="eastAsia" w:ascii="仿宋_GB2312" w:hAnsi="仿宋_GB2312" w:eastAsia="仿宋_GB2312" w:cs="仿宋_GB2312"/>
          <w:color w:val="auto"/>
          <w:sz w:val="32"/>
          <w:szCs w:val="32"/>
          <w:highlight w:val="none"/>
          <w:lang w:eastAsia="zh-CN"/>
        </w:rPr>
        <w:t>黄连系</w:t>
      </w:r>
      <w:r>
        <w:rPr>
          <w:rFonts w:hint="eastAsia" w:ascii="仿宋_GB2312" w:hAnsi="仿宋_GB2312" w:eastAsia="仿宋_GB2312" w:cs="仿宋_GB2312"/>
          <w:color w:val="auto"/>
          <w:sz w:val="32"/>
          <w:szCs w:val="32"/>
          <w:highlight w:val="none"/>
        </w:rPr>
        <w:t>赔偿</w:t>
      </w:r>
      <w:r>
        <w:rPr>
          <w:rFonts w:hint="eastAsia" w:ascii="仿宋_GB2312" w:hAnsi="仿宋_GB2312" w:eastAsia="仿宋_GB2312" w:cs="仿宋_GB2312"/>
          <w:color w:val="auto"/>
          <w:sz w:val="32"/>
          <w:szCs w:val="32"/>
          <w:highlight w:val="none"/>
          <w:lang w:eastAsia="zh-CN"/>
        </w:rPr>
        <w:t>其</w:t>
      </w:r>
      <w:r>
        <w:rPr>
          <w:rFonts w:hint="eastAsia" w:ascii="仿宋_GB2312" w:hAnsi="仿宋_GB2312" w:eastAsia="仿宋_GB2312" w:cs="仿宋_GB2312"/>
          <w:color w:val="auto"/>
          <w:sz w:val="32"/>
          <w:szCs w:val="32"/>
          <w:highlight w:val="none"/>
        </w:rPr>
        <w:t>经济损失及维权合理费用30万元；3宏赫陶瓷公司、</w:t>
      </w:r>
      <w:r>
        <w:rPr>
          <w:rFonts w:hint="eastAsia" w:ascii="仿宋_GB2312" w:hAnsi="仿宋_GB2312" w:eastAsia="仿宋_GB2312" w:cs="仿宋_GB2312"/>
          <w:color w:val="auto"/>
          <w:sz w:val="32"/>
          <w:szCs w:val="32"/>
          <w:highlight w:val="none"/>
          <w:lang w:eastAsia="zh-CN"/>
        </w:rPr>
        <w:t>黄连系</w:t>
      </w:r>
      <w:r>
        <w:rPr>
          <w:rFonts w:hint="eastAsia" w:ascii="仿宋_GB2312" w:hAnsi="仿宋_GB2312" w:eastAsia="仿宋_GB2312" w:cs="仿宋_GB2312"/>
          <w:color w:val="auto"/>
          <w:sz w:val="32"/>
          <w:szCs w:val="32"/>
          <w:highlight w:val="none"/>
        </w:rPr>
        <w:t>承担本案诉讼费等相关费用。</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一审法院认定如下事实：</w:t>
      </w:r>
      <w:r>
        <w:rPr>
          <w:rFonts w:hint="eastAsia" w:ascii="仿宋_GB2312" w:hAnsi="仿宋_GB2312" w:eastAsia="仿宋_GB2312" w:cs="仿宋_GB2312"/>
          <w:color w:val="auto"/>
          <w:sz w:val="32"/>
          <w:szCs w:val="32"/>
          <w:highlight w:val="none"/>
          <w:lang w:eastAsia="zh-CN"/>
        </w:rPr>
        <w:t>（一）</w:t>
      </w:r>
      <w:r>
        <w:rPr>
          <w:rFonts w:hint="eastAsia" w:ascii="仿宋_GB2312" w:hAnsi="仿宋_GB2312" w:eastAsia="仿宋_GB2312" w:cs="仿宋_GB2312"/>
          <w:color w:val="auto"/>
          <w:sz w:val="32"/>
          <w:szCs w:val="32"/>
          <w:highlight w:val="none"/>
        </w:rPr>
        <w:t>贝汉美公司主张保护的外观设计专利</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案涉外观设计专利名称为“陶瓷摆件（萌兔）”，专利号为ZL202130187897.4，于2021年4月5日申请，2021年4月27日授权公告，专利权人为本案贝汉美公司。外观设计产品的用途为用于装饰，设计要点在于形状，最能表明设计要点的图片或照片为立体图。2022年8月19日，国家知识产权局出具《外观设计专利权评价报告》，结论为本专利符合专利法第二十三条第一款、第二款的规定，未发现本专利存在其他不符合专利法有关外观设计授权条件的缺陷。</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（二）</w:t>
      </w:r>
      <w:r>
        <w:rPr>
          <w:rFonts w:hint="eastAsia" w:ascii="仿宋_GB2312" w:hAnsi="仿宋_GB2312" w:eastAsia="仿宋_GB2312" w:cs="仿宋_GB2312"/>
          <w:color w:val="auto"/>
          <w:sz w:val="32"/>
          <w:szCs w:val="32"/>
          <w:highlight w:val="none"/>
        </w:rPr>
        <w:t>被诉侵权的相关事实</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2022年4月28日，贝汉美公司的委托代理人袁红艳向江西省景德镇市景德公证处申请对“阿里巴巴”网页相关内容进行证据保全。当日下午，在公证员吴英和公证人员黄铃的见证下，利用公证处电脑登录“1688阿里巴巴采购批发网”进入名为“广州海之兴工艺品厂”的网络店铺，对店铺信息及名为“奶牙兔创意落地收纳摆件家居客厅办公室装饰乔迁新居礼物礼品”的页面进行浏览并截图。该公证处于2022年5月9日出具（2022）赣景德证内字第1612号公证书。贝汉美公司支付公证费2030元。根据公证书显示，该店铺经营模式为生产厂家，主营行业为塑料、树脂工艺品，主营产品为树脂礼品、树脂摆件、树脂奖杯、树脂模型、树脂玩具，员工人数101-200人，月产量20000条。该店铺展示的被诉侵权产品售价为465元，品牌为海之兴。商品详情介绍中标明“本厂主要以加工定制为主，以上价格是参考价格，不是最终价格，最终价格以实际交谈为准。本厂专注树脂工艺品生产，研发和销售一体企业，全国多家分厂共同生产，交货期有保障。欢迎前来本厂参观与指导。”同时标明该产品已申请专利，并附有外观设计专利权证书。买家评价为0。经庭审确认，该外观设计专利权证书为贝汉美公司所有。页面中还出现标有“贝汉美”字样的产品包装盒。</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贝汉美公司法定代表人沈锋委托南昌市求真知识产权服务有限公司向江西省南昌市大成公证处申请证据保全。在公证员周含颖及公证人员秦佳的现场监督下，南昌市求真知识产权服务有限公司法定代表人胡榕使用公证处电脑，于2022年5月27日登录“https://detail.1688.com/offer/</w:t>
      </w:r>
    </w:p>
    <w:p>
      <w:pPr>
        <w:keepNext w:val="0"/>
        <w:keepLines w:val="0"/>
        <w:pageBreakBefore w:val="0"/>
        <w:widowControl/>
        <w:kinsoku/>
        <w:wordWrap/>
        <w:overflowPunct w:val="0"/>
        <w:topLinePunct w:val="0"/>
        <w:autoSpaceDN/>
        <w:bidi w:val="0"/>
        <w:adjustRightInd/>
        <w:snapToGrid/>
        <w:spacing w:line="500" w:lineRule="exac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654958980287.html?Spm=a2615.7691456.wp_pc_common_offerlist_45753076.0”网址，进入“广州海之兴工艺品厂”网店，并对相关页面进行浏览、截屏，同时购买了销售的相关产品。2022年6月6日，公证处工作人员代收了编号为“500050130217”的安能快递，并对快递现状、快递详单、快递内商品进行拍照并重新封存。2022年6月9日，胡榕操作公证处电脑进入1688网站查询上述商品的订单详情、物流信息等并截图。对此过程，该公证处于2022年6月11日出具了（2022）赣洪大证内字第11575号公证书。</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支付公证费1600元。该公证书显示，“广州海之兴工艺品厂”网店展示的奶牙兔收纳摆件有灰色、米白色、橙色等款式，页面显示的外观设计专利权证书为原告贝汉美公司所有，产品包装正面标有“贝汉美”字样，买家评价为0。贝汉美公司在该店铺下单购买灰色与白色款奶牙兔摆件各一个，共支付600元（含红包抵扣6元）。</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贝汉美公司当庭提交贴有南昌市大成公证处封条的公证实物，经当庭拆封，两个纸箱内装有被诉侵权产品2个，分别为白色与灰色奶牙兔摆件，与公证书记载内容一致。贝汉美公司还向法庭提交其生产的案涉外观设计专利产品奶牙兔摆件一个。被诉侵权产品较案涉外观设计专利产品矮，重量略轻，但两者外形一致。</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2022年5月20日，景德镇市市场监督管理局作出景市监知法裁字[2022]001号《专利侵权纠纷案件行政裁决书》，认定宏赫陶瓷公司在抖音平台直播销售的“星光少女落地摆件”与贝汉美公司的ZL202130187897.4号“陶瓷摆件（萌兔）”专利构成相同，侵犯了贝汉美公司的外观设计专利权，并责令宏赫陶瓷公司立即停止销售、许诺销售侵犯该专利的产品，并不得使用尚未售出的侵权产品或者以任何形式将其投放市场。宏赫陶瓷公司在其经营的宏赫家居旗舰店中销售“宏赫星光少女落地托盘家居客厅沙发边几电视柜旁大型创意摆件”，售价398元，已售112，评价数14。2022年3月8日与3月9日，宏赫陶瓷公司通过直播对外销售被诉侵权产品3个，售价298元/个。宏赫陶瓷公司在庭审中陈述共销售140个被诉侵权产品。</w:t>
      </w:r>
    </w:p>
    <w:p>
      <w:pPr>
        <w:keepNext w:val="0"/>
        <w:keepLines w:val="0"/>
        <w:pageBreakBefore w:val="0"/>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（三）</w:t>
      </w:r>
      <w:r>
        <w:rPr>
          <w:rFonts w:hint="eastAsia" w:ascii="仿宋_GB2312" w:hAnsi="仿宋_GB2312" w:eastAsia="仿宋_GB2312" w:cs="仿宋_GB2312"/>
          <w:color w:val="auto"/>
          <w:sz w:val="32"/>
          <w:szCs w:val="32"/>
          <w:highlight w:val="none"/>
        </w:rPr>
        <w:t>与本案有关的其他事实</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海之兴工艺品厂为个人独资企业，成立于2021年8月13日，投资人为黄连系。在本案审理过程中，海之兴工艺品厂于2022年8月1日经广州天河区行政审批局核准注销登记。</w:t>
      </w:r>
    </w:p>
    <w:p>
      <w:pPr>
        <w:keepNext w:val="0"/>
        <w:keepLines w:val="0"/>
        <w:pageBreakBefore w:val="0"/>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宏赫陶瓷公司通过1688网站与海之兴工艺品厂网店进行洽谈采购陶瓷摆件。海之兴工艺品厂向宏赫陶瓷公司发送包含收纳女孩A款（绿色、黄色、橙色）、收纳女孩C款（黄色、绿色、脏粉色）、奶牙兔B款（米白、橘黄、浅绿）等，采购价共计85200元的采购详单表格。宏赫陶瓷公司于2021年10月27日下单“创意狗落地摆件大客厅装饰搬新家礼物杜宾犬门口钥匙收纳托盘置物”，实付款85200元。宏赫陶瓷公司与黄连系在庭审中均陈述该订单实际包含的物品为聊天记录中的采购详单中物品，是为下单付款方便才统一下单该物品。采购聊天记录显示，海之兴工艺品厂向宏赫陶瓷公司发送工厂生产视频，并多次表示其为厂家，工厂在泉州。此后，海之兴工艺品厂又表示“奶牙兔发不了”“我们生产是什么都可以做出来”“彩绘需要时间的，彩绘完了也要检查，需要时间”“140个，注意查收”。2021年11月24日宏赫陶瓷公司表示“你这个标的6.9kg发给我的只有5.0kg”并发送称重图片，该图片显示的摆件底部与被诉侵权产品奶牙兔摆件底部一致，海之兴工艺品厂表示“参数只是给你参考的”“我会让工人注意”。</w:t>
      </w:r>
    </w:p>
    <w:p>
      <w:pPr>
        <w:keepNext w:val="0"/>
        <w:keepLines w:val="0"/>
        <w:pageBreakBefore w:val="0"/>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color w:val="auto"/>
          <w:sz w:val="32"/>
          <w:szCs w:val="32"/>
          <w:highlight w:val="none"/>
        </w:rPr>
        <w:t>贝汉美公司就同一侵权事实向景德镇市珠山区人民法院对本案被告另案提起侵害商标权纠纷诉讼，案号为（2022）赣0203知民初99号。</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color w:val="auto"/>
          <w:sz w:val="32"/>
          <w:szCs w:val="32"/>
          <w:highlight w:val="none"/>
          <w:lang w:eastAsia="zh-CN"/>
        </w:rPr>
        <w:t>一审法院认为，</w:t>
      </w:r>
      <w:r>
        <w:rPr>
          <w:rFonts w:hint="eastAsia" w:ascii="仿宋_GB2312" w:hAnsi="仿宋_GB2312" w:eastAsia="仿宋_GB2312" w:cs="仿宋_GB2312"/>
          <w:color w:val="auto"/>
          <w:sz w:val="32"/>
          <w:szCs w:val="32"/>
          <w:highlight w:val="none"/>
        </w:rPr>
        <w:t>结合当事人诉请、答辩及证据等，本案的争议焦点为：被诉侵权产品是否落入</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外观设计专利权保护范围？宏赫陶瓷公司、海之兴工艺品厂应当承担何种民事责任？案涉外观设计专利在有效期限内，法律状态稳定，应受法律保护。贝汉美公司为案涉外观设计专利权人，有权进行维权。关于争议焦点一，《中华人民共和国专利法》第六十四条第二款规定，外观设计专利权的保护范围以表示在图片或者照片中的该产品的外观设计为准，简要说明可以用于解释图片或者照片所表示的该产品的外观设计。《最高人民法院关于审理侵犯专利权纠纷案件应用法律若干问题的解释》第八条、第十条、第十一条规定，在与外观设计专利产品相同或者相近种类产品上，采用与授权外观设计相同或者近似的外观设计的，人民法院应当认定被诉侵权设计落入外观设计专利权的保护范围。人民法院判断外观设计是否相同或近似时，应当以外观设计专利产品的一般消费者的知识水平和认知能力进行，同时根据授权外观设计、被诉侵权设计的设计特征，以及外观设计的整体视觉效果进行综合判断。本案被诉侵权产品与</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外观设计专利产品均为装饰摆件，属相同种类产品。案涉外观设计专利最能表明设计要点的图片或照片为立体图，设计要点在于形状。将之与被诉侵权产品进行整体观察、综合判断，两者主要形状设计特征均采用“兔子”形状，手捧托盘，脚底带有花瓣底座，兔子衣服内有少女脸庞，兔子衣服包裹全身且胸前有拉链，脚部鞋子均带有类似蝴蝶结形状，整体轮廓均为头部较小、腿部较大。两者在主要形状设计特征上整体轮廓、线条弧度、棱线分布上均相同。</w:t>
      </w:r>
      <w:r>
        <w:rPr>
          <w:rFonts w:hint="eastAsia" w:ascii="仿宋_GB2312" w:hAnsi="仿宋_GB2312" w:eastAsia="仿宋_GB2312" w:cs="仿宋_GB2312"/>
          <w:color w:val="auto"/>
          <w:sz w:val="32"/>
          <w:szCs w:val="32"/>
          <w:highlight w:val="none"/>
          <w:lang w:eastAsia="zh-CN"/>
        </w:rPr>
        <w:t>该院</w:t>
      </w:r>
      <w:r>
        <w:rPr>
          <w:rFonts w:hint="eastAsia" w:ascii="仿宋_GB2312" w:hAnsi="仿宋_GB2312" w:eastAsia="仿宋_GB2312" w:cs="仿宋_GB2312"/>
          <w:color w:val="auto"/>
          <w:sz w:val="32"/>
          <w:szCs w:val="32"/>
          <w:highlight w:val="none"/>
        </w:rPr>
        <w:t>认为，以一般消费者视角，二者整体视觉效果无实质性差异，属相同的外观设计，被诉产品落入涉案专利权的保护范围。</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关于争议焦点二，根据《最高人民法院关于审理侵犯专利权纠纷案件应用法律若干问题的解释（二）》第二十六条规定可知，被告构成对专利权的侵犯，权利人请求判令其停止侵权行为的，人民法院应予支持。宏赫陶瓷公司在未取得外观设计专利权人许可情况下，通过直播对外销售被诉侵权产品，侵犯了贝汉美公司的外观设计专利权。故对贝汉美公司关于宏赫陶瓷公司立即停止侵权并删除侵权链接的诉讼请求予以支持。根据现有证据可证实宏赫陶瓷公司不存在生产制造行为，此外，现有证据无法证实宏赫陶瓷公司存在被诉侵权产品库存，故对贝汉美公司关于宏赫陶瓷公司销毁生产模具及库存的诉讼请求，不予支持。贝汉美公司主张黄连系经营的海之兴工艺品厂系被诉侵权产品的生产制造者，而黄连系抗辩称其不存在工厂，被诉侵权产品来源于贝汉美公司，并向法院提交从贝汉美公司购买案涉专利产品奶牙兔摆件的截图。对此，黄连系提交的2021年10月27日的下单截图的收件人为张星新，现有证据无法确认该案外人与海之兴工艺品厂的关联，2022年3月9日与3月24日的订单截图未显示购买人信息，且以上三张购买截图显示购买的奶牙兔摆件均为白色款；而贝汉美公司通过公证购买的被诉侵权产品奶牙兔摆件分别为灰色和白色款，且通过当庭比对，公证购买的奶牙兔摆件比贝汉美公司生产的专利产品奶牙兔摆件矮且重量略轻，黄连系的关于公证购买的被诉侵权产品来源于贝汉美公司的主张不能成立。黄连系还辩称</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提供的公证书显示</w:t>
      </w:r>
      <w:r>
        <w:rPr>
          <w:rFonts w:hint="eastAsia" w:ascii="仿宋_GB2312" w:hAnsi="仿宋_GB2312" w:eastAsia="仿宋_GB2312" w:cs="仿宋_GB2312"/>
          <w:color w:val="auto"/>
          <w:sz w:val="32"/>
          <w:szCs w:val="32"/>
          <w:highlight w:val="none"/>
          <w:lang w:eastAsia="zh-CN"/>
        </w:rPr>
        <w:t>该公司</w:t>
      </w:r>
      <w:r>
        <w:rPr>
          <w:rFonts w:hint="eastAsia" w:ascii="仿宋_GB2312" w:hAnsi="仿宋_GB2312" w:eastAsia="仿宋_GB2312" w:cs="仿宋_GB2312"/>
          <w:color w:val="auto"/>
          <w:sz w:val="32"/>
          <w:szCs w:val="32"/>
          <w:highlight w:val="none"/>
        </w:rPr>
        <w:t>向案外人广州彬达工艺品厂购买了奶牙兔摆件，无法确认本案公证实物来自于海兴工艺品厂。对此，根据公证书显示</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向案外人广州彬达工艺品厂购买的奶牙兔摆件为橙色款，而本案公证购买的实物为白色和灰色款，且公证实物外包装盒上安能物流单号与公证书展示的购买截图中物流单号一致，对黄连系的该项主张不予采纳。</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通常情况下，任何通过广告或店铺展示等方式，对外表示其为产品制造者的企业或个人，在无充分相反证据的情形下，可以认定为生产者。本案中，根据贝汉美公司提供的公证书可知，黄连系经营的海之兴工艺品厂在其开设的阿里巴巴网店中展示的企业信息为树脂礼品、树脂摆件等工艺品的生产厂家，并可来料加工、来样加工、来料代加工、OEM加工、手工加工、ODM加工、来图加工，在被诉侵权产品销售页面亦标注“本厂主要以加工制定为主……本厂专注树脂工艺品生产，研发和销售一体企业”等信息。海之兴工艺品厂以自己的行为对不特定客户表示其为被诉侵权产品的生产者，应当视为自愿承担生产制造者的法律责任。宏赫陶瓷公司向海之兴工艺品厂采购的订单中包含“奶牙兔B款”，海之兴工艺品厂亦在聊天记录中多次表示其为生产厂家，并发送工厂生产视频。虽然海之兴工艺品厂在聊天记录中有过“奶牙兔的发不了哦”的表述，但2021年11月24日聊天记录中宏赫陶瓷公司称“你这个标的6.9kg发给我的只有5.0kg”并发送称重图片，该图片显示的摆件底部与被诉侵权产品奶牙兔摆件底部一致，海之兴工艺品厂表示“参数只是给你参考的”“我会让工人注意”，而海之兴工艺品厂在被诉侵权产品销售页面介绍的产品重量为6.9kg，</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公证购买的被诉侵权产品奶牙兔亦比专利产品奶牙兔摆件要轻；2021年12月27日海之兴工艺品厂发送“140个，注意查收”的信息，宏赫陶瓷公司庭审中陈述“140个”是指奶牙兔摆件，并自认销售了140个；宏赫陶瓷公司向海之兴工艺品厂采购的物品中包含奶牙兔摆件并支付了相应货款，而黄连系并未提交奶牙兔摆件无法发货后双方之间有退款的证据。以上材料可相互印证，海之兴工艺品厂向宏赫陶瓷公司销售了的被诉侵权产品奶牙兔摆件，且该奶牙兔摆件与</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专利产品奶牙兔摆件存在高度和重量差异。现有证据已能达到证明海之兴工艺品厂为被诉侵权产品生产制造者的高度盖然性。黄连系主张其在网店宣传及与宏赫陶瓷公司的聊天记录均存在夸大，是为吸引客户，其本身不存在工厂，但并未提交相应证据举证其店铺销售的所有产品的具体生产厂商，其辩解不足以达到否定其为生产者的目的。海之兴工艺品厂生产制造、销售被诉侵权产品侵犯贝汉美公司外观设计专利权，而海之兴工艺品厂为个人独资企业且在本案审理过程中注销，黄连系为该企业投资人，对贝汉美公司关于黄连系停止制造、销售、许诺销售侵权产品，删除侵权链接，销毁库存和用于制造的专用模具，销毁记载有侵权产品图片的宣传资料的诉讼请求予以支持。</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贝汉美公司主张宏赫陶瓷公司与黄连系共同赔偿经济损失及合理费用30万元。对此，根据《中华人民共和国专利法》第七十一条的规定，侵犯专利权的赔偿数额按照权利人因被侵权所受到的实际损失或者侵权人因侵权所获得的利益确定；权利人的损失或者侵权人获得的利益难以确定的，参照该专利许可使用费的倍数合理确定。对故意侵犯专利权，情节严重的，可以在按照上述方法确定数额的一倍以上五倍以下确定赔偿数额，权利人的损失、侵权人获得的利益和专利许可使用费均难以确定的，人民法院可以根据专利权的类型、侵权行为的性质和情节等因素，确定给予三万元以上五百万元以下的赔偿。本案中，贝汉美公司举证销售数据对比，以证明其因侵权造成的实际损失。对此，根据贝汉美公司销售后台数据可知，案涉专利产品自2021年12月至今，销售额处于下滑状态。但网店每月销售额会受到商品推广力度、经济形势、季节性变动、消费者购买力、商品销售周期等多种因素的影响，现有证据不足以证明涉案专利产品的销售额下降与两被告的侵权行为具有直接且唯一的因果关系。结合</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提交的公证书可知，互联网上亦存在案外人销售同款产品。该销售数据对比表仅可作为计算两被告赔偿数额的考量因素之一。</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宏赫陶瓷公司主张其销售的被诉侵权产品均来自海之兴工艺品厂，且仅销售了140个。对此，现有证据可以证实宏赫陶瓷公司从海之兴工艺品厂采购了被诉侵权产品，采购价格为215元/个。从海之兴工艺品厂网店关于被诉侵权产品的宣传页面可知，所附的专利证书为贝汉美公司所有，展示的包装盒印有贝汉美字样，而宏赫陶瓷公司与贝汉美公司同为陶瓷企业，且均位于景德镇，其在采购被诉侵权产品时应当尽到审慎的注意义务。其主张黄连系和案外人向其提供了著作权证书和授权书，但该著作权证书缺少证书主页，无发表时间，而通过被诉侵权产品销售页面附的专利证书可知贝汉美公司取得案涉专利的时间为2021年4月。因此，宏赫陶瓷公司销售的被诉侵权产品虽然有明确的来源，但其主观上未尽到合理注意义务，仍应承担侵权赔偿责任。其主张销售的140个被诉侵权产品与采购聊天记录中海之兴工艺品厂“140个，注意查收”可相互印证，亦未对该销量提出异议，</w:t>
      </w:r>
      <w:r>
        <w:rPr>
          <w:rFonts w:hint="eastAsia" w:ascii="仿宋_GB2312" w:hAnsi="仿宋_GB2312" w:eastAsia="仿宋_GB2312" w:cs="仿宋_GB2312"/>
          <w:color w:val="auto"/>
          <w:sz w:val="32"/>
          <w:szCs w:val="32"/>
          <w:highlight w:val="none"/>
          <w:lang w:eastAsia="zh-CN"/>
        </w:rPr>
        <w:t>该院</w:t>
      </w:r>
      <w:r>
        <w:rPr>
          <w:rFonts w:hint="eastAsia" w:ascii="仿宋_GB2312" w:hAnsi="仿宋_GB2312" w:eastAsia="仿宋_GB2312" w:cs="仿宋_GB2312"/>
          <w:color w:val="auto"/>
          <w:sz w:val="32"/>
          <w:szCs w:val="32"/>
          <w:highlight w:val="none"/>
        </w:rPr>
        <w:t>对其销售140个被诉侵权产品的事实予以确认。宏赫陶瓷公司的赔偿额可通过计算其因侵权所获得的利益确定。经查明，宏赫陶瓷公司在其经营的宏赫家居旗舰店中销售“宏赫星光少女落地托盘家居客厅沙发边几电视柜旁大型创意摆件”，售价398元，评价数为14，已售112，在2022年3月8日和9日的直播中售价为298元/个。</w:t>
      </w:r>
      <w:r>
        <w:rPr>
          <w:rFonts w:hint="eastAsia" w:ascii="仿宋_GB2312" w:hAnsi="仿宋_GB2312" w:eastAsia="仿宋_GB2312" w:cs="仿宋_GB2312"/>
          <w:color w:val="auto"/>
          <w:sz w:val="32"/>
          <w:szCs w:val="32"/>
          <w:highlight w:val="none"/>
          <w:lang w:eastAsia="zh-CN"/>
        </w:rPr>
        <w:t>该院</w:t>
      </w:r>
      <w:r>
        <w:rPr>
          <w:rFonts w:hint="eastAsia" w:ascii="仿宋_GB2312" w:hAnsi="仿宋_GB2312" w:eastAsia="仿宋_GB2312" w:cs="仿宋_GB2312"/>
          <w:color w:val="auto"/>
          <w:sz w:val="32"/>
          <w:szCs w:val="32"/>
          <w:highlight w:val="none"/>
        </w:rPr>
        <w:t>结合其采购价为215元/个，并综合考虑其运营、快递和包装费用等成本，酌定其赔偿贝汉美公司经济损失21420元。</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虽然1688网页显示海之兴工艺品厂网店的公司档案一栏中交易记录累计成交214笔，但鉴于该网店销售的产品并非仅为被诉侵权产品奶牙兔摆件，且1688网店存在为批发采购方便而将多种产品统一下一个产品订单的情形，故该214笔销量不应视为被诉侵权产品的实际销量。</w:t>
      </w:r>
      <w:r>
        <w:rPr>
          <w:rFonts w:hint="eastAsia" w:ascii="仿宋_GB2312" w:hAnsi="仿宋_GB2312" w:eastAsia="仿宋_GB2312" w:cs="仿宋_GB2312"/>
          <w:color w:val="auto"/>
          <w:sz w:val="32"/>
          <w:szCs w:val="32"/>
          <w:highlight w:val="none"/>
          <w:lang w:eastAsia="zh-CN"/>
        </w:rPr>
        <w:t>该院</w:t>
      </w:r>
      <w:r>
        <w:rPr>
          <w:rFonts w:hint="eastAsia" w:ascii="仿宋_GB2312" w:hAnsi="仿宋_GB2312" w:eastAsia="仿宋_GB2312" w:cs="仿宋_GB2312"/>
          <w:color w:val="auto"/>
          <w:sz w:val="32"/>
          <w:szCs w:val="32"/>
          <w:highlight w:val="none"/>
        </w:rPr>
        <w:t>认为在确定海之兴工艺品厂的赔偿额时，应当充分考虑涉案专利权的类型、涉案专利的技术含量、侵权人的侵权行为和情节、侵权人的经营规模等因素。此外，</w:t>
      </w:r>
      <w:r>
        <w:rPr>
          <w:rFonts w:hint="eastAsia" w:ascii="仿宋_GB2312" w:hAnsi="仿宋_GB2312" w:eastAsia="仿宋_GB2312" w:cs="仿宋_GB2312"/>
          <w:color w:val="auto"/>
          <w:sz w:val="32"/>
          <w:szCs w:val="32"/>
          <w:highlight w:val="none"/>
          <w:lang w:eastAsia="zh-CN"/>
        </w:rPr>
        <w:t>该院</w:t>
      </w:r>
      <w:r>
        <w:rPr>
          <w:rFonts w:hint="eastAsia" w:ascii="仿宋_GB2312" w:hAnsi="仿宋_GB2312" w:eastAsia="仿宋_GB2312" w:cs="仿宋_GB2312"/>
          <w:color w:val="auto"/>
          <w:sz w:val="32"/>
          <w:szCs w:val="32"/>
          <w:highlight w:val="none"/>
        </w:rPr>
        <w:t>注意到以下情况：1.海之兴工艺品厂在与宏赫陶瓷公司的采购聊天记录中表示“这款生产成本太高了，上次做3000个厂里都亏本了”；2.海之兴工艺品厂向宏赫陶瓷公司销售被诉侵权产品的单价为215元；3.海之兴工艺品厂网店销售被诉侵权产品的标价为465元/个，且2件起批，快递费10元；4.贝汉美公司从海之兴工艺品厂购买被诉侵权产品的实际支付价格为600元2个；5.海之兴工艺品厂在被诉侵权产品销售网页上附有</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的案涉外观设计专利权证书，且附有印有“贝汉美”标识的外包装图片；6.海之兴工艺品厂主张从</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购买过案涉专利产品。</w:t>
      </w:r>
      <w:r>
        <w:rPr>
          <w:rFonts w:hint="eastAsia" w:ascii="仿宋_GB2312" w:hAnsi="仿宋_GB2312" w:eastAsia="仿宋_GB2312" w:cs="仿宋_GB2312"/>
          <w:color w:val="auto"/>
          <w:sz w:val="32"/>
          <w:szCs w:val="32"/>
          <w:highlight w:val="none"/>
          <w:lang w:eastAsia="zh-CN"/>
        </w:rPr>
        <w:t>该院</w:t>
      </w:r>
      <w:r>
        <w:rPr>
          <w:rFonts w:hint="eastAsia" w:ascii="仿宋_GB2312" w:hAnsi="仿宋_GB2312" w:eastAsia="仿宋_GB2312" w:cs="仿宋_GB2312"/>
          <w:color w:val="auto"/>
          <w:sz w:val="32"/>
          <w:szCs w:val="32"/>
          <w:highlight w:val="none"/>
        </w:rPr>
        <w:t>酌定海之兴工艺品厂应当赔偿</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经济损失100000元。根据《中华人民共和国个人独资企业法》第二十八条规定“个人独资企业解散后，原投资人对个人独资企业存续期间的债务仍应承担偿还责任，但债权人在五年内未向债务人提出偿债请求的，该责任消灭。”海之兴工艺品厂为个人独资企业，黄连系为其投资人，该企业在本案审理过程中被黄连系注销，故该赔偿责任应当由黄连系承担。</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贝汉美公司为维护其合法权益，公证购买了侵权产品，共支出公证费3630元及购买侵权产品费600元，该合理维权费用应予支持。但鉴于贝汉美公司就同一侵权行为向景德镇市珠山区人民法院另案提起了侵害商标权纠纷诉讼，</w:t>
      </w:r>
      <w:r>
        <w:rPr>
          <w:rFonts w:hint="eastAsia" w:ascii="仿宋_GB2312" w:hAnsi="仿宋_GB2312" w:eastAsia="仿宋_GB2312" w:cs="仿宋_GB2312"/>
          <w:color w:val="auto"/>
          <w:sz w:val="32"/>
          <w:szCs w:val="32"/>
          <w:highlight w:val="none"/>
          <w:lang w:eastAsia="zh-CN"/>
        </w:rPr>
        <w:t>该院</w:t>
      </w:r>
      <w:r>
        <w:rPr>
          <w:rFonts w:hint="eastAsia" w:ascii="仿宋_GB2312" w:hAnsi="仿宋_GB2312" w:eastAsia="仿宋_GB2312" w:cs="仿宋_GB2312"/>
          <w:color w:val="auto"/>
          <w:sz w:val="32"/>
          <w:szCs w:val="32"/>
          <w:highlight w:val="none"/>
        </w:rPr>
        <w:t>认为该维权支出费用不应在本案中全额支持，</w:t>
      </w:r>
      <w:r>
        <w:rPr>
          <w:rFonts w:hint="eastAsia" w:ascii="仿宋_GB2312" w:hAnsi="仿宋_GB2312" w:eastAsia="仿宋_GB2312" w:cs="仿宋_GB2312"/>
          <w:color w:val="auto"/>
          <w:sz w:val="32"/>
          <w:szCs w:val="32"/>
          <w:highlight w:val="none"/>
          <w:lang w:eastAsia="zh-CN"/>
        </w:rPr>
        <w:t>该院</w:t>
      </w:r>
      <w:r>
        <w:rPr>
          <w:rFonts w:hint="eastAsia" w:ascii="仿宋_GB2312" w:hAnsi="仿宋_GB2312" w:eastAsia="仿宋_GB2312" w:cs="仿宋_GB2312"/>
          <w:color w:val="auto"/>
          <w:sz w:val="32"/>
          <w:szCs w:val="32"/>
          <w:highlight w:val="none"/>
        </w:rPr>
        <w:t>支持2115元。贝汉美公司未提交律师费发票及支付凭证，但考虑到其聘请律师出庭的事实，酌情支持5000元。宏赫陶瓷公司与黄连系共同承担</w:t>
      </w:r>
      <w:r>
        <w:rPr>
          <w:rFonts w:hint="eastAsia" w:ascii="仿宋_GB2312" w:hAnsi="仿宋_GB2312" w:eastAsia="仿宋_GB2312" w:cs="仿宋_GB2312"/>
          <w:color w:val="auto"/>
          <w:sz w:val="32"/>
          <w:szCs w:val="32"/>
          <w:highlight w:val="none"/>
          <w:lang w:eastAsia="zh-CN"/>
        </w:rPr>
        <w:t>贝汉美公司</w:t>
      </w:r>
      <w:r>
        <w:rPr>
          <w:rFonts w:hint="eastAsia" w:ascii="仿宋_GB2312" w:hAnsi="仿宋_GB2312" w:eastAsia="仿宋_GB2312" w:cs="仿宋_GB2312"/>
          <w:color w:val="auto"/>
          <w:sz w:val="32"/>
          <w:szCs w:val="32"/>
          <w:highlight w:val="none"/>
        </w:rPr>
        <w:t>的合理维权费用为7115元。</w:t>
      </w:r>
    </w:p>
    <w:p>
      <w:pPr>
        <w:keepNext w:val="0"/>
        <w:keepLines w:val="0"/>
        <w:pageBreakBefore w:val="0"/>
        <w:widowControl/>
        <w:kinsoku/>
        <w:wordWrap/>
        <w:overflowPunct w:val="0"/>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综上，依照《中华人民共和国专利法》第六十四条第二款、第七十一条，《中华人民共和国个人独资企业法》第二十八条，《最高人民法院关于审理侵犯专利权纠纷案件应用法律若干问题的解释》第八条、第十条、第十一条，《最高人民法院关于审理侵犯专利权纠纷案件应用法律若干问题的解释（二）》第二十六条，《中华人民共和国民事诉讼法》第六十七条、第一百四十五条之规定，判决如下：一、景德镇宏赫陶瓷有限公司立即停止销售、许诺销售侵犯原告ZL202130187897.4号陶瓷摆件（萌兔）外观设计专利权产品并删除侵权链接；黄连系立即停止制造、销售、许诺销售侵犯原告ZL202130187897.4号陶瓷摆件（萌兔）外观设计专利权产品并删除侵权链接，销毁库存侵权产品和用于制造侵权产品的专用模具，销毁记载有侵权产品图片的宣传资料。</w:t>
      </w:r>
    </w:p>
    <w:p>
      <w:pPr>
        <w:keepNext w:val="0"/>
        <w:keepLines w:val="0"/>
        <w:pageBreakBefore w:val="0"/>
        <w:widowControl/>
        <w:kinsoku/>
        <w:wordWrap/>
        <w:overflowPunct w:val="0"/>
        <w:topLinePunct w:val="0"/>
        <w:autoSpaceDN/>
        <w:bidi w:val="0"/>
        <w:adjustRightInd/>
        <w:snapToGrid/>
        <w:spacing w:line="500" w:lineRule="exac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景德镇宏赫陶瓷有限公司于本判决生效之日起十五日内赔偿景德镇市贝汉美陶瓷有限公司经济损失21420元；黄连系于本判决生效之日起十五日内赔偿原告景德镇市贝汉美陶瓷有限公司经济损失100000元。三、景德镇宏赫陶瓷有限公司与黄连系共同赔偿景德镇市贝汉美陶瓷有限公司合理维权费用7115元。四、驳回景德镇市贝汉美陶瓷有限公司的其他诉讼请求。案件受理费5800元，由景德镇市贝汉美陶瓷有限公司负担1500元，由景德镇宏赫陶瓷有限公司负担1800元，由黄连系负担2500元。</w:t>
      </w:r>
    </w:p>
    <w:p>
      <w:pPr>
        <w:keepNext w:val="0"/>
        <w:keepLines w:val="0"/>
        <w:pageBreakBefore w:val="0"/>
        <w:widowControl w:val="0"/>
        <w:kinsoku/>
        <w:wordWrap/>
        <w:overflowPunct/>
        <w:topLinePunct w:val="0"/>
        <w:autoSpaceDN/>
        <w:bidi w:val="0"/>
        <w:adjustRightInd/>
        <w:snapToGrid/>
        <w:spacing w:line="500" w:lineRule="exact"/>
        <w:ind w:firstLine="66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二审期间，</w:t>
      </w:r>
      <w:r>
        <w:rPr>
          <w:rFonts w:hint="eastAsia" w:ascii="仿宋_GB2312" w:hAnsi="仿宋_GB2312" w:eastAsia="仿宋_GB2312" w:cs="仿宋_GB2312"/>
          <w:color w:val="auto"/>
          <w:sz w:val="32"/>
          <w:szCs w:val="32"/>
          <w:highlight w:val="none"/>
          <w:lang w:eastAsia="zh-CN"/>
        </w:rPr>
        <w:t>上诉人黄连系向本院</w:t>
      </w:r>
      <w:r>
        <w:rPr>
          <w:rFonts w:hint="eastAsia" w:ascii="仿宋_GB2312" w:hAnsi="仿宋_GB2312" w:eastAsia="仿宋_GB2312" w:cs="仿宋_GB2312"/>
          <w:color w:val="auto"/>
          <w:sz w:val="32"/>
          <w:szCs w:val="32"/>
          <w:highlight w:val="none"/>
        </w:rPr>
        <w:t>提交了</w:t>
      </w:r>
      <w:r>
        <w:rPr>
          <w:rFonts w:hint="eastAsia" w:ascii="仿宋_GB2312" w:hAnsi="仿宋_GB2312" w:eastAsia="仿宋_GB2312" w:cs="仿宋_GB2312"/>
          <w:color w:val="auto"/>
          <w:sz w:val="32"/>
          <w:szCs w:val="32"/>
          <w:highlight w:val="none"/>
          <w:lang w:eastAsia="zh-CN"/>
        </w:rPr>
        <w:t>以下证据：</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店铺合作协议</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份、海之兴工艺品厂企业信用信息公示报告</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份、工作证明</w:t>
      </w:r>
      <w:r>
        <w:rPr>
          <w:rFonts w:hint="eastAsia" w:ascii="仿宋_GB2312" w:hAnsi="仿宋_GB2312" w:eastAsia="仿宋_GB2312" w:cs="仿宋_GB2312"/>
          <w:color w:val="auto"/>
          <w:sz w:val="32"/>
          <w:szCs w:val="32"/>
          <w:highlight w:val="none"/>
          <w:lang w:val="en-US" w:eastAsia="zh-CN"/>
        </w:rPr>
        <w:t>2份，证明海之兴工艺品厂是张星新组织并成立的，案涉店铺均由其管理，上诉人对店铺运营不知情，不存在违法销售的情形，也没有销售案涉侵权产品的故意。同时证明海之兴工艺品厂的业务范围没有生产和制造。2.采购单1份，证明案外人张星新向泉州市腾鑫工艺品厂采购奶牙兔15个，上诉人不知情。3.案外人张星新与贝汉美订购奶牙兔记录1份，证明张星新用海之兴旺旺聊天吹牛。4.泉州市腾鑫工艺品有限公司企查查信用信息1份，证明该公司业务范围有生产，张星新是从该公司采购的。5.厦门海洋兴工艺品有限公司诉海之兴工艺品厂案例1份，证明海之兴工艺品厂不是生产工厂。6.厦门海洋兴工艺品有限公司诉上海品杉实业有限公司外观设计侵权案例1份，证明该案判赔金额为几千元，本案判赔10多万元，不符合常理。</w:t>
      </w:r>
    </w:p>
    <w:p>
      <w:pPr>
        <w:keepNext w:val="0"/>
        <w:keepLines w:val="0"/>
        <w:pageBreakBefore w:val="0"/>
        <w:widowControl w:val="0"/>
        <w:kinsoku/>
        <w:wordWrap/>
        <w:overflowPunct/>
        <w:topLinePunct w:val="0"/>
        <w:autoSpaceDN/>
        <w:bidi w:val="0"/>
        <w:adjustRightInd/>
        <w:snapToGrid/>
        <w:spacing w:line="500" w:lineRule="exact"/>
        <w:ind w:firstLine="66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贝汉美公司的质证意见是：均不属于新证据。对证据1中的合作协议三性有异议，对外不产生任何效力，更不能免除黄连系的法律责任；对报告三性无异议，但证明目的有异议，该证据恰恰能反映黄连系为海之兴工艺品厂的唯一自然人股东，与案外人张星新无关。对工作证明三性有异议。对证据2中的采购单三性有异议，不能达到证明目的。证据3 在一审中已经提交，对该份证据的质证意见同一审质证意见。</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对黄连系二审提交的证据是否采信，在本院认为部分予以分析。</w:t>
      </w:r>
      <w:r>
        <w:rPr>
          <w:rFonts w:hint="eastAsia" w:ascii="仿宋_GB2312" w:hAnsi="仿宋_GB2312" w:eastAsia="仿宋_GB2312" w:cs="仿宋_GB2312"/>
          <w:b w:val="0"/>
          <w:bCs w:val="0"/>
          <w:color w:val="auto"/>
          <w:sz w:val="32"/>
          <w:szCs w:val="32"/>
          <w:highlight w:val="none"/>
          <w:lang w:val="en-US" w:eastAsia="zh-CN"/>
        </w:rPr>
        <w:t>当事人在一审中提交的证据随卷移送本院，经审查可作为定案证据采信，本院对一审认定的事实予以确认。</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本院认为，根据当事人诉辩主张，本案二审争议焦点是：1.一审认定海之兴工艺品厂生产案涉侵权产品是否正确；2.黄连系是否承担侵权责任；3.一审判决黄连系赔偿金额为100000元是否正确。</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关于争议焦点一。黄连系上诉主张海之兴工艺品厂非生产者，并提供了该厂企查查信用信息、采购单、广州互联网法院（2022）粤0192民初1683号民事判决等证据材料欲以证明。但是，本案宏赫陶瓷公司从海之兴工艺品厂购买140个被诉侵权产品，且采购聊天记录中有相关生产视频，并多次表示其为厂家等内容。黄连系二审中提供的海之兴工艺品厂企查查信用信息、采购单、聊天记录等不足以否定上述证据。至于广州互联网法院审理的（2022）粤0192民初1683号</w:t>
      </w:r>
      <w:r>
        <w:rPr>
          <w:rFonts w:hint="eastAsia" w:ascii="仿宋_GB2312" w:hAnsi="仿宋_GB2312" w:eastAsia="仿宋_GB2312" w:cs="仿宋_GB2312"/>
          <w:color w:val="auto"/>
          <w:sz w:val="32"/>
          <w:szCs w:val="32"/>
          <w:highlight w:val="none"/>
          <w:lang w:val="en-US" w:eastAsia="zh-CN"/>
        </w:rPr>
        <w:t>厦门海洋兴工艺品有限公司诉海之兴工艺品厂侵害《女孩半身像抬头戴花和蝴蝶》作品复制权和发行权纠纷案</w:t>
      </w:r>
      <w:r>
        <w:rPr>
          <w:rFonts w:hint="eastAsia" w:ascii="仿宋_GB2312" w:hAnsi="仿宋_GB2312" w:eastAsia="仿宋_GB2312" w:cs="仿宋_GB2312"/>
          <w:b w:val="0"/>
          <w:bCs w:val="0"/>
          <w:color w:val="auto"/>
          <w:sz w:val="32"/>
          <w:szCs w:val="32"/>
          <w:highlight w:val="none"/>
          <w:lang w:val="en-US" w:eastAsia="zh-CN"/>
        </w:rPr>
        <w:t>，该案判决未采信厦门海洋兴工艺品有限公司关于海之兴工艺品厂系侵权产品生产者，理由是其提供的海之兴工艺品厂的网络宣传显示的是与其无关的泉州市海之兴工艺品厂，海之兴工艺品厂系生产者的可能较低。但本案不同，本案不仅仅有海之兴工艺品厂的网络宣传（明确宣称经营模式为生产厂家，以及“本厂支持各种树脂工艺品定制、批发、3D打印、开发等”），更有宏赫陶瓷公司从海之兴工艺品厂采购140个案涉侵权产品的聊天记录及实物。因此，一审法院认定海之兴工艺品厂生产涉案侵权产品有相应的证据支持，并无不当。黄连系主张海之兴工艺品厂不是案涉侵权产品的生产者，不予支持。</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val="en-US" w:eastAsia="zh-CN"/>
        </w:rPr>
        <w:t>关于争议焦点2，</w:t>
      </w:r>
      <w:r>
        <w:rPr>
          <w:rFonts w:hint="eastAsia" w:ascii="仿宋_GB2312" w:hAnsi="仿宋_GB2312" w:eastAsia="仿宋_GB2312" w:cs="仿宋_GB2312"/>
          <w:color w:val="auto"/>
          <w:sz w:val="32"/>
          <w:szCs w:val="32"/>
          <w:highlight w:val="none"/>
          <w:lang w:val="en-US" w:eastAsia="zh-CN"/>
        </w:rPr>
        <w:t>本案确定的是海之兴工艺品厂作为个人独资企业注销后的侵权法律责任，而根据</w:t>
      </w:r>
      <w:r>
        <w:rPr>
          <w:rFonts w:hint="eastAsia" w:ascii="仿宋_GB2312" w:hAnsi="仿宋_GB2312" w:eastAsia="仿宋_GB2312" w:cs="仿宋_GB2312"/>
          <w:color w:val="auto"/>
          <w:sz w:val="32"/>
          <w:szCs w:val="32"/>
          <w:highlight w:val="none"/>
        </w:rPr>
        <w:t>《中华人民共和国个人独资企业法》第二十八条规定</w:t>
      </w:r>
      <w:r>
        <w:rPr>
          <w:rFonts w:hint="eastAsia" w:ascii="仿宋_GB2312" w:hAnsi="仿宋_GB2312" w:eastAsia="仿宋_GB2312" w:cs="仿宋_GB2312"/>
          <w:color w:val="auto"/>
          <w:sz w:val="32"/>
          <w:szCs w:val="32"/>
          <w:highlight w:val="none"/>
          <w:lang w:eastAsia="zh-CN"/>
        </w:rPr>
        <w:t>，责任承担主体为原投资人。黄连系登记为该个人独资企业的投资人，即使其提供证据主张其与案外人存在合作或合伙等其他关系，亦属于其与案外人的内部法律关系，不影响其作为登记投资人对外承担的法律责任。</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关于争议焦点3，海之兴工艺品厂在被诉侵权产品销售网页上附有贝汉美公司的案涉外观设计专利权证书，且附有印有“贝汉美”标识的外包装图片，侵权故意明显。同时海之兴工艺品厂在与宏赫陶瓷公司的采购聊天记录中表示“这款生产成本太高了，上次做3000个厂里都亏本了”等内容。综合全案事实，一审法院考虑涉案专利权的类型、侵权人的侵权行为和情节、侵权人的经营规模等因素，酌定海之兴工艺品厂侵权赔偿金额为100000元，本院予以支持。黄连系上诉主张赔偿金额过高，不予支持。</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综上</w:t>
      </w:r>
      <w:r>
        <w:rPr>
          <w:rFonts w:hint="eastAsia" w:ascii="仿宋_GB2312" w:hAnsi="仿宋_GB2312" w:eastAsia="仿宋_GB2312" w:cs="仿宋_GB2312"/>
          <w:color w:val="auto"/>
          <w:sz w:val="32"/>
          <w:szCs w:val="32"/>
          <w:highlight w:val="none"/>
          <w:lang w:eastAsia="zh-CN"/>
        </w:rPr>
        <w:t>所述</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黄连系</w:t>
      </w:r>
      <w:r>
        <w:rPr>
          <w:rFonts w:hint="eastAsia" w:ascii="仿宋_GB2312" w:hAnsi="仿宋_GB2312" w:eastAsia="仿宋_GB2312" w:cs="仿宋_GB2312"/>
          <w:color w:val="auto"/>
          <w:sz w:val="32"/>
          <w:szCs w:val="32"/>
          <w:highlight w:val="none"/>
        </w:rPr>
        <w:t>的上诉请求不能成立，应予驳回。</w:t>
      </w:r>
      <w:r>
        <w:rPr>
          <w:rFonts w:hint="eastAsia" w:ascii="仿宋_GB2312" w:hAnsi="仿宋_GB2312" w:eastAsia="仿宋_GB2312" w:cs="仿宋_GB2312"/>
          <w:color w:val="auto"/>
          <w:sz w:val="32"/>
          <w:szCs w:val="32"/>
          <w:highlight w:val="none"/>
          <w:lang w:eastAsia="zh-CN"/>
        </w:rPr>
        <w:t>一</w:t>
      </w:r>
      <w:r>
        <w:rPr>
          <w:rFonts w:hint="eastAsia" w:ascii="仿宋_GB2312" w:hAnsi="仿宋_GB2312" w:eastAsia="仿宋_GB2312" w:cs="仿宋_GB2312"/>
          <w:color w:val="auto"/>
          <w:sz w:val="32"/>
          <w:szCs w:val="32"/>
          <w:highlight w:val="none"/>
        </w:rPr>
        <w:t>审判决认定事实清楚，适用法律正确，</w:t>
      </w:r>
      <w:r>
        <w:rPr>
          <w:rFonts w:hint="eastAsia" w:ascii="仿宋_GB2312" w:hAnsi="仿宋_GB2312" w:eastAsia="仿宋_GB2312" w:cs="仿宋_GB2312"/>
          <w:color w:val="auto"/>
          <w:sz w:val="32"/>
          <w:szCs w:val="32"/>
          <w:highlight w:val="none"/>
          <w:lang w:eastAsia="zh-CN"/>
        </w:rPr>
        <w:t>审判程序合法，</w:t>
      </w:r>
      <w:r>
        <w:rPr>
          <w:rFonts w:hint="eastAsia" w:ascii="仿宋_GB2312" w:hAnsi="仿宋_GB2312" w:eastAsia="仿宋_GB2312" w:cs="仿宋_GB2312"/>
          <w:color w:val="auto"/>
          <w:sz w:val="32"/>
          <w:szCs w:val="32"/>
          <w:highlight w:val="none"/>
        </w:rPr>
        <w:t>应予维持。依照《中华人民共和国民事诉讼法》第一百七十七条第一款第一项之规定，判决如下：</w:t>
      </w:r>
    </w:p>
    <w:p>
      <w:pPr>
        <w:keepNext w:val="0"/>
        <w:keepLines w:val="0"/>
        <w:pageBreakBefore w:val="0"/>
        <w:widowControl w:val="0"/>
        <w:kinsoku/>
        <w:wordWrap/>
        <w:overflowPunct/>
        <w:topLinePunct w:val="0"/>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驳回上诉，维持原判。</w:t>
      </w:r>
    </w:p>
    <w:p>
      <w:pPr>
        <w:keepNext w:val="0"/>
        <w:keepLines w:val="0"/>
        <w:pageBreakBefore w:val="0"/>
        <w:widowControl/>
        <w:suppressLineNumbers w:val="0"/>
        <w:kinsoku/>
        <w:wordWrap/>
        <w:overflowPunct/>
        <w:topLinePunct w:val="0"/>
        <w:autoSpaceDN/>
        <w:bidi w:val="0"/>
        <w:adjustRightInd/>
        <w:snapToGrid/>
        <w:spacing w:line="500" w:lineRule="exact"/>
        <w:ind w:firstLine="64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二审案件受理费2300元，由</w:t>
      </w:r>
      <w:r>
        <w:rPr>
          <w:rFonts w:hint="eastAsia" w:ascii="仿宋_GB2312" w:hAnsi="仿宋_GB2312" w:eastAsia="仿宋_GB2312" w:cs="仿宋_GB2312"/>
          <w:color w:val="auto"/>
          <w:sz w:val="32"/>
          <w:szCs w:val="32"/>
          <w:highlight w:val="none"/>
          <w:lang w:eastAsia="zh-CN"/>
        </w:rPr>
        <w:t>黄连系负担。</w:t>
      </w:r>
    </w:p>
    <w:p>
      <w:pPr>
        <w:keepNext w:val="0"/>
        <w:keepLines w:val="0"/>
        <w:pageBreakBefore w:val="0"/>
        <w:widowControl/>
        <w:suppressLineNumbers w:val="0"/>
        <w:kinsoku/>
        <w:wordWrap/>
        <w:overflowPunct/>
        <w:topLinePunct w:val="0"/>
        <w:autoSpaceDN/>
        <w:bidi w:val="0"/>
        <w:adjustRightInd/>
        <w:snapToGrid/>
        <w:spacing w:line="500" w:lineRule="exact"/>
        <w:ind w:firstLine="64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本判决为终审判决。</w:t>
      </w:r>
    </w:p>
    <w:p>
      <w:pPr>
        <w:keepNext w:val="0"/>
        <w:keepLines w:val="0"/>
        <w:pageBreakBefore w:val="0"/>
        <w:widowControl/>
        <w:suppressLineNumbers w:val="0"/>
        <w:kinsoku/>
        <w:wordWrap/>
        <w:overflowPunct/>
        <w:topLinePunct w:val="0"/>
        <w:autoSpaceDN/>
        <w:bidi w:val="0"/>
        <w:adjustRightInd/>
        <w:snapToGrid/>
        <w:spacing w:line="500" w:lineRule="exact"/>
        <w:ind w:firstLine="640"/>
        <w:jc w:val="both"/>
        <w:textAlignment w:val="auto"/>
        <w:rPr>
          <w:rFonts w:hint="eastAsia" w:ascii="仿宋_GB2312" w:hAnsi="仿宋_GB2312" w:eastAsia="仿宋_GB2312" w:cs="仿宋_GB2312"/>
          <w:color w:val="auto"/>
          <w:sz w:val="32"/>
          <w:szCs w:val="32"/>
          <w:highlight w:val="none"/>
          <w:lang w:eastAsia="zh-CN"/>
        </w:rPr>
      </w:pPr>
    </w:p>
    <w:p>
      <w:pPr>
        <w:keepNext w:val="0"/>
        <w:keepLines w:val="0"/>
        <w:pageBreakBefore w:val="0"/>
        <w:widowControl/>
        <w:suppressLineNumbers w:val="0"/>
        <w:kinsoku/>
        <w:wordWrap/>
        <w:overflowPunct/>
        <w:topLinePunct w:val="0"/>
        <w:autoSpaceDN/>
        <w:bidi w:val="0"/>
        <w:adjustRightInd/>
        <w:snapToGrid/>
        <w:spacing w:line="500" w:lineRule="exact"/>
        <w:ind w:firstLine="640"/>
        <w:jc w:val="both"/>
        <w:textAlignment w:val="auto"/>
        <w:rPr>
          <w:rFonts w:hint="eastAsia" w:ascii="仿宋_GB2312" w:hAnsi="仿宋_GB2312" w:eastAsia="仿宋_GB2312" w:cs="仿宋_GB2312"/>
          <w:color w:val="auto"/>
          <w:sz w:val="32"/>
          <w:szCs w:val="32"/>
          <w:highlight w:val="none"/>
          <w:lang w:eastAsia="zh-CN"/>
        </w:rPr>
      </w:pPr>
    </w:p>
    <w:p>
      <w:pPr>
        <w:keepNext w:val="0"/>
        <w:keepLines w:val="0"/>
        <w:pageBreakBefore w:val="0"/>
        <w:widowControl/>
        <w:suppressLineNumbers w:val="0"/>
        <w:kinsoku/>
        <w:wordWrap/>
        <w:overflowPunct/>
        <w:topLinePunct w:val="0"/>
        <w:autoSpaceDN/>
        <w:bidi w:val="0"/>
        <w:adjustRightInd/>
        <w:snapToGrid/>
        <w:spacing w:line="500" w:lineRule="exact"/>
        <w:ind w:firstLine="640"/>
        <w:jc w:val="both"/>
        <w:textAlignment w:val="auto"/>
        <w:rPr>
          <w:rFonts w:hint="eastAsia" w:ascii="仿宋_GB2312" w:hAnsi="仿宋_GB2312" w:eastAsia="仿宋_GB2312" w:cs="仿宋_GB2312"/>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审 判 长</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eastAsia="zh-CN"/>
        </w:rPr>
        <w:t>郑红葛</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审 判 员</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eastAsia="zh-CN"/>
        </w:rPr>
        <w:t>丁保华</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z w:val="32"/>
          <w:szCs w:val="32"/>
          <w:highlight w:val="none"/>
          <w:lang w:eastAsia="zh-CN"/>
        </w:rPr>
      </w:pPr>
      <w:r>
        <w:rPr>
          <w:rFonts w:ascii="仿宋_GB2312" w:hAnsi="仿宋_GB2312" w:eastAsia="仿宋_GB2312" w:cs="仿宋_GB2312"/>
          <w:spacing w:val="17"/>
          <w:sz w:val="32"/>
          <w:szCs w:val="32"/>
        </w:rPr>
        <w:drawing>
          <wp:anchor distT="0" distB="0" distL="114300" distR="114300" simplePos="0" relativeHeight="251658240" behindDoc="1" locked="0" layoutInCell="1" allowOverlap="1">
            <wp:simplePos x="0" y="0"/>
            <wp:positionH relativeFrom="page">
              <wp:posOffset>4314190</wp:posOffset>
            </wp:positionH>
            <wp:positionV relativeFrom="page">
              <wp:posOffset>6528435</wp:posOffset>
            </wp:positionV>
            <wp:extent cx="1800225" cy="1800225"/>
            <wp:effectExtent l="0" t="0" r="9525"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1800225" cy="1800225"/>
                    </a:xfrm>
                    <a:prstGeom prst="rect">
                      <a:avLst/>
                    </a:prstGeom>
                    <a:noFill/>
                    <a:ln>
                      <a:noFill/>
                    </a:ln>
                  </pic:spPr>
                </pic:pic>
              </a:graphicData>
            </a:graphic>
          </wp:anchor>
        </w:drawing>
      </w:r>
      <w:r>
        <w:rPr>
          <w:rFonts w:hint="eastAsia" w:ascii="仿宋_GB2312" w:hAnsi="仿宋_GB2312" w:eastAsia="仿宋_GB2312" w:cs="仿宋_GB2312"/>
          <w:color w:val="auto"/>
          <w:sz w:val="32"/>
          <w:szCs w:val="32"/>
          <w:highlight w:val="none"/>
        </w:rPr>
        <w:t>审 判 员</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eastAsia="zh-CN"/>
        </w:rPr>
        <w:t>胡建文</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right"/>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00" w:lineRule="exact"/>
        <w:ind w:firstLine="4960" w:firstLineChars="1550"/>
        <w:jc w:val="right"/>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二○二</w:t>
      </w:r>
      <w:r>
        <w:rPr>
          <w:rFonts w:hint="eastAsia" w:ascii="仿宋_GB2312" w:hAnsi="仿宋_GB2312" w:eastAsia="仿宋_GB2312" w:cs="仿宋_GB2312"/>
          <w:color w:val="auto"/>
          <w:spacing w:val="17"/>
          <w:sz w:val="32"/>
          <w:szCs w:val="32"/>
          <w:highlight w:val="none"/>
          <w:lang w:eastAsia="zh-CN"/>
        </w:rPr>
        <w:t>二</w:t>
      </w:r>
      <w:r>
        <w:rPr>
          <w:rFonts w:hint="eastAsia" w:ascii="仿宋_GB2312" w:hAnsi="仿宋_GB2312" w:eastAsia="仿宋_GB2312" w:cs="仿宋_GB2312"/>
          <w:color w:val="auto"/>
          <w:spacing w:val="17"/>
          <w:sz w:val="32"/>
          <w:szCs w:val="32"/>
          <w:highlight w:val="none"/>
        </w:rPr>
        <w:t>年</w:t>
      </w:r>
      <w:r>
        <w:rPr>
          <w:rFonts w:hint="eastAsia" w:ascii="仿宋_GB2312" w:hAnsi="仿宋_GB2312" w:eastAsia="仿宋_GB2312" w:cs="仿宋_GB2312"/>
          <w:color w:val="auto"/>
          <w:spacing w:val="17"/>
          <w:sz w:val="32"/>
          <w:szCs w:val="32"/>
          <w:highlight w:val="none"/>
          <w:lang w:eastAsia="zh-CN"/>
        </w:rPr>
        <w:t>十二</w:t>
      </w:r>
      <w:r>
        <w:rPr>
          <w:rFonts w:hint="eastAsia" w:ascii="仿宋_GB2312" w:hAnsi="仿宋_GB2312" w:eastAsia="仿宋_GB2312" w:cs="仿宋_GB2312"/>
          <w:color w:val="auto"/>
          <w:spacing w:val="17"/>
          <w:sz w:val="32"/>
          <w:szCs w:val="32"/>
          <w:highlight w:val="none"/>
        </w:rPr>
        <w:t>月</w:t>
      </w:r>
      <w:r>
        <w:rPr>
          <w:rFonts w:hint="eastAsia" w:ascii="仿宋_GB2312" w:hAnsi="仿宋_GB2312" w:eastAsia="仿宋_GB2312" w:cs="仿宋_GB2312"/>
          <w:color w:val="auto"/>
          <w:spacing w:val="17"/>
          <w:sz w:val="32"/>
          <w:szCs w:val="32"/>
          <w:highlight w:val="none"/>
          <w:lang w:val="en-US" w:eastAsia="zh-CN"/>
        </w:rPr>
        <w:t>十三</w:t>
      </w:r>
      <w:r>
        <w:rPr>
          <w:rFonts w:hint="eastAsia" w:ascii="仿宋_GB2312" w:hAnsi="仿宋_GB2312" w:eastAsia="仿宋_GB2312" w:cs="仿宋_GB2312"/>
          <w:color w:val="auto"/>
          <w:spacing w:val="17"/>
          <w:sz w:val="32"/>
          <w:szCs w:val="32"/>
          <w:highlight w:val="none"/>
        </w:rPr>
        <w:t>日</w:t>
      </w:r>
    </w:p>
    <w:p>
      <w:pPr>
        <w:keepNext w:val="0"/>
        <w:keepLines w:val="0"/>
        <w:pageBreakBefore w:val="0"/>
        <w:widowControl w:val="0"/>
        <w:kinsoku/>
        <w:wordWrap/>
        <w:overflowPunct/>
        <w:topLinePunct w:val="0"/>
        <w:autoSpaceDE/>
        <w:autoSpaceDN/>
        <w:bidi w:val="0"/>
        <w:adjustRightInd/>
        <w:snapToGrid/>
        <w:spacing w:line="500" w:lineRule="exact"/>
        <w:ind w:firstLine="4960" w:firstLineChars="1550"/>
        <w:jc w:val="right"/>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法官助理          樊  蕾 </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 xml:space="preserve">书 记 员 </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eastAsia="zh-CN"/>
        </w:rPr>
        <w:t>杨</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eastAsia="zh-CN"/>
        </w:rPr>
        <w:t>兰</w:t>
      </w:r>
    </w:p>
    <w:p>
      <w:pPr>
        <w:keepNext w:val="0"/>
        <w:keepLines w:val="0"/>
        <w:pageBreakBefore w:val="0"/>
        <w:widowControl/>
        <w:suppressLineNumbers w:val="0"/>
        <w:kinsoku/>
        <w:wordWrap/>
        <w:overflowPunct/>
        <w:topLinePunct w:val="0"/>
        <w:bidi w:val="0"/>
        <w:spacing w:line="480" w:lineRule="exact"/>
        <w:ind w:firstLine="640"/>
        <w:jc w:val="right"/>
        <w:textAlignment w:val="auto"/>
        <w:rPr>
          <w:rFonts w:hint="eastAsia" w:ascii="仿宋_GB2312" w:hAnsi="仿宋_GB2312" w:eastAsia="仿宋_GB2312" w:cs="仿宋_GB2312"/>
          <w:color w:val="auto"/>
          <w:sz w:val="32"/>
          <w:szCs w:val="32"/>
          <w:highlight w:val="none"/>
          <w:lang w:eastAsia="zh-CN"/>
        </w:rPr>
      </w:pPr>
    </w:p>
    <w:p>
      <w:pPr>
        <w:keepNext w:val="0"/>
        <w:keepLines w:val="0"/>
        <w:pageBreakBefore w:val="0"/>
        <w:widowControl/>
        <w:suppressLineNumbers w:val="0"/>
        <w:kinsoku/>
        <w:wordWrap/>
        <w:overflowPunct/>
        <w:topLinePunct w:val="0"/>
        <w:bidi w:val="0"/>
        <w:spacing w:line="480" w:lineRule="exact"/>
        <w:ind w:firstLine="640"/>
        <w:jc w:val="left"/>
        <w:textAlignment w:val="auto"/>
        <w:rPr>
          <w:rFonts w:hint="default" w:ascii="仿宋_GB2312" w:hAnsi="仿宋_GB2312" w:eastAsia="仿宋_GB2312" w:cs="仿宋_GB2312"/>
          <w:b w:val="0"/>
          <w:bCs w:val="0"/>
          <w:color w:val="auto"/>
          <w:sz w:val="32"/>
          <w:szCs w:val="32"/>
          <w:highlight w:val="none"/>
          <w:lang w:val="en-US" w:eastAsia="zh-CN"/>
        </w:rPr>
      </w:pPr>
    </w:p>
    <w:p>
      <w:pPr>
        <w:rPr>
          <w:color w:val="auto"/>
          <w:highlight w:val="none"/>
        </w:rPr>
      </w:pPr>
      <w:bookmarkStart w:id="1" w:name="_GoBack"/>
      <w:bookmarkEnd w:id="1"/>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639843D300006022" w:val=" "/>
  </w:docVars>
  <w:rsids>
    <w:rsidRoot w:val="00000000"/>
    <w:rsid w:val="019F1F69"/>
    <w:rsid w:val="0E2449A2"/>
    <w:rsid w:val="159559DA"/>
    <w:rsid w:val="163F0C53"/>
    <w:rsid w:val="202E165F"/>
    <w:rsid w:val="23534905"/>
    <w:rsid w:val="24484137"/>
    <w:rsid w:val="2C4B2D80"/>
    <w:rsid w:val="34BA3A20"/>
    <w:rsid w:val="3A0D62BB"/>
    <w:rsid w:val="3C6E5A20"/>
    <w:rsid w:val="3F722BF3"/>
    <w:rsid w:val="45763EDC"/>
    <w:rsid w:val="47A0236B"/>
    <w:rsid w:val="4CE536B5"/>
    <w:rsid w:val="55AA05E5"/>
    <w:rsid w:val="55BF75D6"/>
    <w:rsid w:val="5AE8304F"/>
    <w:rsid w:val="5FEB6EB8"/>
    <w:rsid w:val="6C0733A4"/>
    <w:rsid w:val="7ABB74EE"/>
    <w:rsid w:val="7DCB7A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Strong"/>
    <w:basedOn w:val="4"/>
    <w:qFormat/>
    <w:uiPriority w:val="0"/>
    <w:rPr>
      <w:b/>
    </w:rPr>
  </w:style>
  <w:style w:type="paragraph" w:customStyle="1" w:styleId="6">
    <w:name w:val="lawyeeCourtName1"/>
    <w:basedOn w:val="1"/>
    <w:qFormat/>
    <w:uiPriority w:val="0"/>
    <w:pPr>
      <w:widowControl w:val="0"/>
      <w:spacing w:line="520" w:lineRule="exact"/>
      <w:jc w:val="center"/>
    </w:pPr>
    <w:rPr>
      <w:rFonts w:hint="eastAsia" w:ascii="方正小标宋简体" w:hAnsi="方正小标宋简体" w:eastAsia="方正小标宋简体" w:cs="方正小标宋简体"/>
      <w:kern w:val="2"/>
      <w:sz w:val="44"/>
    </w:rPr>
  </w:style>
  <w:style w:type="paragraph" w:customStyle="1" w:styleId="7">
    <w:name w:val="lawyeeWritName1"/>
    <w:basedOn w:val="1"/>
    <w:qFormat/>
    <w:uiPriority w:val="0"/>
    <w:pPr>
      <w:widowControl w:val="0"/>
      <w:spacing w:before="327" w:beforeLines="100" w:line="520" w:lineRule="exact"/>
      <w:jc w:val="center"/>
    </w:pPr>
    <w:rPr>
      <w:rFonts w:hint="eastAsia" w:ascii="方正小标宋简体" w:hAnsi="方正小标宋简体" w:eastAsia="方正小标宋简体" w:cs="方正小标宋简体"/>
      <w:kern w:val="2"/>
      <w:sz w:val="44"/>
    </w:rPr>
  </w:style>
  <w:style w:type="paragraph" w:customStyle="1" w:styleId="8">
    <w:name w:val="lawyeeAttach1"/>
    <w:basedOn w:val="1"/>
    <w:qFormat/>
    <w:uiPriority w:val="0"/>
    <w:pPr>
      <w:widowControl w:val="0"/>
      <w:spacing w:line="520" w:lineRule="exact"/>
      <w:ind w:firstLine="640" w:firstLineChars="200"/>
    </w:pPr>
    <w:rPr>
      <w:rFonts w:hint="eastAsia" w:ascii="仿宋_GB2312" w:hAnsi="仿宋_GB2312" w:eastAsia="仿宋_GB2312" w:cs="仿宋_GB2312"/>
      <w:kern w:val="2"/>
      <w:sz w:val="32"/>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2022-06-26T10:30:00Z</dcterms:created>
  <dc:creator>DELL</dc:creator>
  <cp:lastModifiedBy>胡志勇</cp:lastModifiedBy>
  <dcterms:modified xsi:type="dcterms:W3CDTF">2023-02-10T08:01:13Z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